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27F2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Times New Roman" w:hAnsi="Times New Roman" w:eastAsia="方正小标宋简体" w:cs="方正小标宋简体"/>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pPr>
      <w:bookmarkStart w:id="0" w:name="_GoBack"/>
      <w:r>
        <w:rPr>
          <w:rFonts w:hint="eastAsia" w:ascii="Times New Roman" w:hAnsi="Times New Roman" w:eastAsia="方正小标宋简体" w:cs="方正小标宋简体"/>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t>山东省定点医药机构相关人员</w:t>
      </w:r>
    </w:p>
    <w:p w14:paraId="65D6B60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Times New Roman" w:hAnsi="Times New Roman" w:eastAsia="方正小标宋_GBK" w:cs="方正小标宋_GBK"/>
          <w:b w:val="0"/>
          <w:bCs/>
          <w:i w:val="0"/>
          <w:caps w:val="0"/>
          <w:color w:val="000000" w:themeColor="text1"/>
          <w:spacing w:val="0"/>
          <w:sz w:val="44"/>
          <w:szCs w:val="44"/>
          <w:highlight w:val="none"/>
          <w14:textFill>
            <w14:solidFill>
              <w14:schemeClr w14:val="tx1"/>
            </w14:solidFill>
          </w14:textFill>
        </w:rPr>
      </w:pPr>
      <w:r>
        <w:rPr>
          <w:rFonts w:hint="eastAsia" w:ascii="Times New Roman" w:hAnsi="Times New Roman" w:eastAsia="方正小标宋简体" w:cs="方正小标宋简体"/>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t>医保支付资格管理实施细则（试行）</w:t>
      </w:r>
      <w:bookmarkEnd w:id="0"/>
    </w:p>
    <w:p w14:paraId="3036E32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p>
    <w:p w14:paraId="54ABD3A3">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第一章  总  则</w:t>
      </w:r>
    </w:p>
    <w:p w14:paraId="40DAD3F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w:t>
      </w:r>
      <w:r>
        <w:rPr>
          <w:rFonts w:hint="eastAsia" w:ascii="黑体" w:hAnsi="黑体" w:eastAsia="黑体" w:cs="黑体"/>
          <w:b w:val="0"/>
          <w:bCs w:val="0"/>
          <w:caps w:val="0"/>
          <w:color w:val="000000" w:themeColor="text1"/>
          <w:kern w:val="0"/>
          <w:sz w:val="32"/>
          <w:szCs w:val="32"/>
          <w:highlight w:val="none"/>
          <w:lang w:val="en" w:eastAsia="zh-CN" w:bidi="ar"/>
          <w14:textFill>
            <w14:solidFill>
              <w14:schemeClr w14:val="tx1"/>
            </w14:solidFill>
          </w14:textFill>
        </w:rPr>
        <w:t>一</w:t>
      </w: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为贯彻落实党中央、国务院决策部署和省委、省政府工作要求，建立定点医药机构相关人员医保支付资格管理制度，激励和约束定点医药机构相关人员维护公民医疗保障合法权益，安全规范、合理高效使用医保基金，根据《医疗保障基金使用监督管理条例》《山东省医疗保障基金监督管理办法》和《国家医保局国家卫生健康委国家药监局关于建立定点医药机构相关人员医保支付资格管理制度的指导意见》（医保发〔2024〕23号），制定本实施细则。</w:t>
      </w:r>
    </w:p>
    <w:p w14:paraId="46AB8833">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本实施细则适用于医疗保障</w:t>
      </w:r>
      <w:r>
        <w:rPr>
          <w:rFonts w:hint="eastAsia" w:ascii="Times New Roman" w:hAnsi="Times New Roman"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部门</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对定点医药机构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涉及医疗保障基金使用的</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相关人员</w:t>
      </w:r>
      <w:r>
        <w:rPr>
          <w:rFonts w:hint="eastAsia" w:ascii="Times New Roman" w:hAnsi="Times New Roman" w:eastAsia="仿宋_GB2312" w:cs="仿宋_GB2312"/>
          <w:i w:val="0"/>
          <w:caps w:val="0"/>
          <w:color w:val="000000" w:themeColor="text1"/>
          <w:spacing w:val="0"/>
          <w:sz w:val="32"/>
          <w:szCs w:val="32"/>
          <w:highlight w:val="none"/>
          <w:shd w:val="clear"/>
          <w:lang w:eastAsia="zh-CN"/>
          <w14:textFill>
            <w14:solidFill>
              <w14:schemeClr w14:val="tx1"/>
            </w14:solidFill>
          </w14:textFill>
        </w:rPr>
        <w:t>（以下简称“相关人员”）</w:t>
      </w:r>
      <w:r>
        <w:rPr>
          <w:rFonts w:hint="eastAsia" w:ascii="Times New Roman" w:hAnsi="Times New Roman" w:eastAsia="仿宋_GB2312" w:cs="仿宋_GB2312"/>
          <w:i w:val="0"/>
          <w:caps w:val="0"/>
          <w:color w:val="000000" w:themeColor="text1"/>
          <w:spacing w:val="0"/>
          <w:sz w:val="32"/>
          <w:szCs w:val="32"/>
          <w:highlight w:val="none"/>
          <w:shd w:val="clear"/>
          <w14:textFill>
            <w14:solidFill>
              <w14:schemeClr w14:val="tx1"/>
            </w14:solidFill>
          </w14:textFill>
        </w:rPr>
        <w:t>的医保支付资格管理</w:t>
      </w:r>
      <w:r>
        <w:rPr>
          <w:rFonts w:hint="eastAsia" w:ascii="Times New Roman" w:hAnsi="Times New Roman" w:eastAsia="仿宋_GB2312" w:cs="仿宋_GB2312"/>
          <w:i w:val="0"/>
          <w:caps w:val="0"/>
          <w:color w:val="000000" w:themeColor="text1"/>
          <w:spacing w:val="0"/>
          <w:sz w:val="32"/>
          <w:szCs w:val="32"/>
          <w:highlight w:val="none"/>
          <w:shd w:val="clear"/>
          <w:lang w:val="en-US" w:eastAsia="zh-CN"/>
          <w14:textFill>
            <w14:solidFill>
              <w14:schemeClr w14:val="tx1"/>
            </w14:solidFill>
          </w14:textFill>
        </w:rPr>
        <w:t>，包括</w:t>
      </w:r>
      <w:r>
        <w:rPr>
          <w:rFonts w:hint="eastAsia" w:ascii="Times New Roman" w:hAnsi="Times New Roman"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责任认定</w:t>
      </w:r>
      <w:r>
        <w:rPr>
          <w:rFonts w:hint="eastAsia" w:ascii="Times New Roman" w:hAnsi="Times New Roman" w:eastAsia="仿宋_GB2312" w:cs="仿宋_GB2312"/>
          <w:i w:val="0"/>
          <w:caps w:val="0"/>
          <w:color w:val="000000" w:themeColor="text1"/>
          <w:spacing w:val="0"/>
          <w:sz w:val="32"/>
          <w:szCs w:val="32"/>
          <w:highlight w:val="none"/>
          <w:shd w:val="clear" w:color="auto" w:fill="FFFFFF"/>
          <w:lang w:eastAsia="zh-CN"/>
          <w14:textFill>
            <w14:solidFill>
              <w14:schemeClr w14:val="tx1"/>
            </w14:solidFill>
          </w14:textFill>
        </w:rPr>
        <w:t>、记分细</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则、</w:t>
      </w:r>
      <w:r>
        <w:rPr>
          <w:rFonts w:hint="eastAsia" w:ascii="Times New Roman" w:hAnsi="Times New Roman"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管理措施</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、修复</w:t>
      </w:r>
      <w:r>
        <w:rPr>
          <w:rFonts w:hint="eastAsia" w:ascii="Times New Roman" w:hAnsi="Times New Roman" w:eastAsia="仿宋_GB2312" w:cs="仿宋_GB2312"/>
          <w:i w:val="0"/>
          <w:caps w:val="0"/>
          <w:color w:val="000000" w:themeColor="text1"/>
          <w:spacing w:val="0"/>
          <w:sz w:val="32"/>
          <w:szCs w:val="32"/>
          <w:highlight w:val="none"/>
          <w:shd w:val="clear" w:color="auto" w:fill="FFFFFF"/>
          <w:lang w:eastAsia="zh-CN"/>
          <w14:textFill>
            <w14:solidFill>
              <w14:schemeClr w14:val="tx1"/>
            </w14:solidFill>
          </w14:textFill>
        </w:rPr>
        <w:t>机制、</w:t>
      </w:r>
      <w:r>
        <w:rPr>
          <w:rFonts w:hint="eastAsia" w:ascii="Times New Roman" w:hAnsi="Times New Roman"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异议申诉</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等</w:t>
      </w:r>
      <w:r>
        <w:rPr>
          <w:rFonts w:hint="eastAsia" w:ascii="Times New Roman" w:hAnsi="Times New Roman" w:eastAsia="仿宋_GB2312" w:cs="仿宋_GB2312"/>
          <w:i w:val="0"/>
          <w:caps w:val="0"/>
          <w:color w:val="000000" w:themeColor="text1"/>
          <w:spacing w:val="0"/>
          <w:sz w:val="32"/>
          <w:szCs w:val="32"/>
          <w:highlight w:val="none"/>
          <w:shd w:val="clear"/>
          <w14:textFill>
            <w14:solidFill>
              <w14:schemeClr w14:val="tx1"/>
            </w14:solidFill>
          </w14:textFill>
        </w:rPr>
        <w:t>工作</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w:t>
      </w:r>
    </w:p>
    <w:p w14:paraId="40673D6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相关人员包括定点医疗机构为参保人提供使用基金结算的医疗类、药学类、护理类、技术类等卫生专业技术人员</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以及</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负责医疗费用和医保结算审核的相关工作人员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定点零售药店为参保人提供使用基金结算的医药服务的主要负责人（即药品经营许可证上的主要负责人）</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p>
    <w:p w14:paraId="28B7B3C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i w:val="0"/>
          <w:caps w:val="0"/>
          <w:color w:val="000000" w:themeColor="text1"/>
          <w:spacing w:val="0"/>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相关人员按照其执业（就业）的定点医药机构与医疗保障经办机构签订的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服务协议，即获得医保支付资格（不涉及行政许可准入和事前备案），为参保人提供医药服务，并纳入医保监管范围。</w:t>
      </w:r>
    </w:p>
    <w:p w14:paraId="08B1B20A">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第四条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医</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疗保障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行政部门</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负责</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统筹推进相关人员医保支付资格管理工作，组织制定和规范完善相关制度机制，</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监督检查医疗保障经办机构落实</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医保</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支付资格管理工作</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定期</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将相关人员的记分与处理情况通报同级卫生健康主管部门、药品监管部门。</w:t>
      </w:r>
    </w:p>
    <w:p w14:paraId="6732C715">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第五条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医疗保障经办机构负责</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相关人员</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医保支付资格管理具体实施工作</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并将相关人员</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医保支付资格管理</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情况纳入服务协议管理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。对违法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或者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违反服务协议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、违背服务承诺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的定点医药机构的相关人员，根据行为性质和负有责任程度等对相关责任人员进行记分</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；当</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年度内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记分</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累计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达到一定分值</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后</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，暂停或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终止相关</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责任</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人员支付资格和医保费用结算</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对负责医疗费用和医保结算审核的相关工作人员暂停或者终止其从事医疗费用和医保结算审核工作。</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及时</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向本级医疗保障行政部门报送定点医药机构相关人员的记分与处理情况。</w:t>
      </w:r>
    </w:p>
    <w:p w14:paraId="5CB7E2EE">
      <w:pPr>
        <w:pStyle w:val="3"/>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第六条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定点医药机构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负责落实本机构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相关人员管理的主体责任</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将相关人员医保支付资格管理与年度考核、内部通报等激励约束管理制度挂钩</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建立</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医疗保障基金使用</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内部管理制度，</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明确相关责任部门（科室）及相关人员的工作职责。</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对本机构相关人员进行登记备案及登记备案状态维护，申报由登记备案状态正常的相关人员为参保人提供医药服务所产生的医保费用</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开展医疗保障相关法律法规和政策</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规定</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的</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学习</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培训，组织相关人员通过签署承诺书等形式作出服务承诺，确保相关人员知晓并遵守服务承诺，督促指导相关人员遵守法律法规和服务协议。</w:t>
      </w:r>
    </w:p>
    <w:p w14:paraId="3C664749">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第二章  责任认定</w:t>
      </w:r>
    </w:p>
    <w:p w14:paraId="253465D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第七条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对违法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或者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违反服务协议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、违背服务承诺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的定点医药机构的相关</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责任</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在对定点医药机构作出行政处罚（处理）或者协议</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处理的基础上，由作出行政处罚（处理）的</w:t>
      </w:r>
      <w:r>
        <w:rPr>
          <w:rFonts w:hint="eastAsia" w:ascii="Times New Roman" w:hAnsi="Times New Roman" w:eastAsia="仿宋_GB2312" w:cs="仿宋_GB2312"/>
          <w:i w:val="0"/>
          <w:caps w:val="0"/>
          <w:color w:val="000000" w:themeColor="text1"/>
          <w:spacing w:val="-6"/>
          <w:kern w:val="0"/>
          <w:sz w:val="32"/>
          <w:szCs w:val="32"/>
          <w:highlight w:val="none"/>
          <w:shd w:val="clear" w:fill="FFFFFF"/>
          <w:lang w:val="en-US" w:eastAsia="zh-CN" w:bidi="ar"/>
          <w14:textFill>
            <w14:solidFill>
              <w14:schemeClr w14:val="tx1"/>
            </w14:solidFill>
          </w14:textFill>
        </w:rPr>
        <w:t>医疗保障</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行政部门、作出协议处理的</w:t>
      </w:r>
      <w:r>
        <w:rPr>
          <w:rFonts w:hint="eastAsia" w:ascii="Times New Roman" w:hAnsi="Times New Roman" w:eastAsia="仿宋_GB2312" w:cs="仿宋_GB2312"/>
          <w:i w:val="0"/>
          <w:caps w:val="0"/>
          <w:color w:val="000000" w:themeColor="text1"/>
          <w:spacing w:val="-6"/>
          <w:kern w:val="0"/>
          <w:sz w:val="32"/>
          <w:szCs w:val="32"/>
          <w:highlight w:val="none"/>
          <w:shd w:val="clear" w:fill="FFFFFF"/>
          <w:lang w:val="en-US" w:eastAsia="zh-CN" w:bidi="ar"/>
          <w14:textFill>
            <w14:solidFill>
              <w14:schemeClr w14:val="tx1"/>
            </w14:solidFill>
          </w14:textFill>
        </w:rPr>
        <w:t>医疗保障</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经办机构认定相关责任人员责任。</w:t>
      </w:r>
    </w:p>
    <w:p w14:paraId="02C9224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第八条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医疗保障行政部门、医疗保障经办机构应当综合考虑违法违规行为性质、涉及医疗保障基金金额、涉及相关人员数量等因素，对性质较恶劣或者涉及金额较高的相关人员进行责任认定。</w:t>
      </w:r>
    </w:p>
    <w:p w14:paraId="6D4131C3">
      <w:pPr>
        <w:pStyle w:val="2"/>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jc w:val="both"/>
        <w:textAlignment w:val="auto"/>
        <w:rPr>
          <w:rFonts w:hint="eastAsia" w:ascii="Times New Roman" w:hAnsi="Times New Roman" w:eastAsia="仿宋_GB2312" w:cs="仿宋_GB2312"/>
          <w:b w:val="0"/>
          <w:bCs w:val="0"/>
          <w:caps w:val="0"/>
          <w:color w:val="000000" w:themeColor="text1"/>
          <w:kern w:val="0"/>
          <w:sz w:val="32"/>
          <w:szCs w:val="32"/>
          <w:highlight w:val="none"/>
          <w:shd w:val="clear" w:fill="FFFFFF"/>
          <w:lang w:eastAsia="zh-CN" w:bidi="ar"/>
          <w14:textFill>
            <w14:solidFill>
              <w14:schemeClr w14:val="tx1"/>
            </w14:solidFill>
          </w14:textFill>
        </w:rPr>
      </w:pPr>
      <w:r>
        <w:rPr>
          <w:rFonts w:hint="eastAsia" w:ascii="Times New Roman" w:hAns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“性质较恶劣”是指定点医药机构及其相关人员违反《医疗保障基金使用监督管理条例》第二十条规定实施骗取医疗保障基金行为；定点医药机构违反《医疗保障基金使用监督管理条例》的规定或</w:t>
      </w:r>
      <w:r>
        <w:rPr>
          <w:rFonts w:hint="eastAsia" w:asci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者</w:t>
      </w:r>
      <w:r>
        <w:rPr>
          <w:rFonts w:hint="eastAsia" w:ascii="Times New Roman" w:hAns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违反医保协议约定</w:t>
      </w:r>
      <w:r>
        <w:rPr>
          <w:rFonts w:hint="eastAsia" w:ascii="Times New Roman" w:hAnsi="Times New Roman" w:eastAsia="仿宋_GB2312" w:cs="仿宋_GB2312"/>
          <w:b w:val="0"/>
          <w:bCs w:val="0"/>
          <w:caps w:val="0"/>
          <w:color w:val="000000" w:themeColor="text1"/>
          <w:kern w:val="0"/>
          <w:sz w:val="32"/>
          <w:szCs w:val="32"/>
          <w:highlight w:val="none"/>
          <w:shd w:val="clear" w:fill="FFFFFF"/>
          <w:lang w:eastAsia="zh-CN" w:bidi="ar"/>
          <w14:textFill>
            <w14:solidFill>
              <w14:schemeClr w14:val="tx1"/>
            </w14:solidFill>
          </w14:textFill>
        </w:rPr>
        <w:t>被要求支付违约金、中止（解除）医保协议、中止（责令暂停）</w:t>
      </w:r>
      <w:r>
        <w:rPr>
          <w:rFonts w:hint="eastAsia" w:ascii="Times New Roman" w:hAns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相关责任部门（科室）</w:t>
      </w:r>
      <w:r>
        <w:rPr>
          <w:rFonts w:hint="eastAsia" w:ascii="Times New Roman" w:hAnsi="Times New Roman" w:eastAsia="仿宋_GB2312" w:cs="仿宋_GB2312"/>
          <w:b w:val="0"/>
          <w:bCs w:val="0"/>
          <w:caps w:val="0"/>
          <w:color w:val="000000" w:themeColor="text1"/>
          <w:kern w:val="0"/>
          <w:sz w:val="32"/>
          <w:szCs w:val="32"/>
          <w:highlight w:val="none"/>
          <w:shd w:val="clear" w:fill="FFFFFF"/>
          <w:lang w:eastAsia="zh-CN" w:bidi="ar"/>
          <w14:textFill>
            <w14:solidFill>
              <w14:schemeClr w14:val="tx1"/>
            </w14:solidFill>
          </w14:textFill>
        </w:rPr>
        <w:t>涉及医疗保障基金使用的医疗服务。</w:t>
      </w:r>
    </w:p>
    <w:p w14:paraId="22D1B50C">
      <w:pPr>
        <w:pStyle w:val="2"/>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jc w:val="both"/>
        <w:textAlignment w:val="auto"/>
        <w:rPr>
          <w:rFonts w:hint="default" w:ascii="Times New Roman" w:hAnsi="Times New Roman"/>
          <w:b w:val="0"/>
          <w:bCs w:val="0"/>
          <w:caps w:val="0"/>
          <w:color w:val="000000" w:themeColor="text1"/>
          <w:highlight w:val="none"/>
          <w:lang w:val="en-US" w:eastAsia="zh-CN"/>
          <w14:textFill>
            <w14:solidFill>
              <w14:schemeClr w14:val="tx1"/>
            </w14:solidFill>
          </w14:textFill>
        </w:rPr>
      </w:pPr>
      <w:r>
        <w:rPr>
          <w:rFonts w:hint="eastAsia" w:ascii="Times New Roman" w:hAns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“涉及金额较高”是指定点医药机构违反《医疗保障基金使用监督管理条例》第十五条规定或者医保协议约定</w:t>
      </w:r>
      <w:r>
        <w:rPr>
          <w:rFonts w:hint="eastAsia" w:asci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eastAsia" w:ascii="Times New Roman" w:hAns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违法违规使用医疗保障基金金额达到5万元以上</w:t>
      </w:r>
      <w:r>
        <w:rPr>
          <w:rFonts w:hint="eastAsia" w:asci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eastAsia" w:ascii="Times New Roman" w:hAns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且相关人员涉及的违法违规医疗保障基金金额达到5000元以上。</w:t>
      </w:r>
    </w:p>
    <w:p w14:paraId="72BBD23F">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第九条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对相关人员负有一般责任、重要责任、主要责任的责任程度认定遵循以下原则：</w:t>
      </w:r>
    </w:p>
    <w:p w14:paraId="08FAFB97">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一般责任者，是指在其职责范围内，不履行或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不正确履行自己的职责，对医保基金使用违法违规负面情形发生起配合作用的相关责任人员。</w:t>
      </w:r>
    </w:p>
    <w:p w14:paraId="05DB3C71">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重要责任者，是指在其职责范围内，不履行或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不正确履行自己的职责，对医保基金使用违法违规负面情形发生起主动作用的相关责任人员。</w:t>
      </w:r>
    </w:p>
    <w:p w14:paraId="4DB24528">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主要责任者，是指在其职责范围内，不履行或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不正确履行自己的职责，对医保基金使用违法违规负面情形发生起决定作用的相关责任人员。</w:t>
      </w:r>
    </w:p>
    <w:p w14:paraId="3DF5CBB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定点医药机构在接受医疗保障行政部门的执法检查、医疗保障经办机构的审核稽核核查时，应当根据本机构医疗保障基金使用的内部管理制度和职责分工，提供本机构违法违规使用医疗保障基金行为的相关责任人员和责任程度的证据，提出违法违规行为的责任人员及其责任程度的建议</w:t>
      </w:r>
      <w:r>
        <w:rPr>
          <w:rFonts w:hint="eastAsia" w:ascii="Times New Roman" w:hAnsi="Times New Roman" w:eastAsia="仿宋_GB2312" w:cs="仿宋_GB2312"/>
          <w:caps w:val="0"/>
          <w:color w:val="000000" w:themeColor="text1"/>
          <w:kern w:val="0"/>
          <w:sz w:val="32"/>
          <w:szCs w:val="32"/>
          <w:highlight w:val="none"/>
          <w:shd w:val="clear" w:fill="FFFFFF"/>
          <w:lang w:eastAsia="zh-CN" w:bidi="ar"/>
          <w14:textFill>
            <w14:solidFill>
              <w14:schemeClr w14:val="tx1"/>
            </w14:solidFill>
          </w14:textFill>
        </w:rPr>
        <w:t>，</w:t>
      </w:r>
      <w:r>
        <w:rPr>
          <w:rFonts w:hint="eastAsia" w:ascii="Times New Roman" w:hAnsi="Times New Roman" w:eastAsia="仿宋_GB2312" w:cs="仿宋_GB2312"/>
          <w:caps w:val="0"/>
          <w:color w:val="000000" w:themeColor="text1"/>
          <w:kern w:val="0"/>
          <w:sz w:val="32"/>
          <w:szCs w:val="32"/>
          <w:highlight w:val="none"/>
          <w:shd w:val="clear" w:fill="FFFFFF"/>
          <w:lang w:val="en-US" w:eastAsia="zh-CN" w:bidi="ar"/>
          <w14:textFill>
            <w14:solidFill>
              <w14:schemeClr w14:val="tx1"/>
            </w14:solidFill>
          </w14:textFill>
        </w:rPr>
        <w:t>作为医疗保障行政部门或者医疗保障经办机构进行责任认定的参考</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w:t>
      </w:r>
    </w:p>
    <w:p w14:paraId="4C6029E0">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第十一条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医疗保障行政部门、医疗保障经办机构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对</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定点医药机构启动行政</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处</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罚</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（处理）、协议处理程序后</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对违法违规使用医疗保障基金行为的调查取证</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应当</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具体到定点医药机构相关责任部门（科室）及相关人员</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在告知拟作出的行政处罚</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（处理）、协议处理</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时，同</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步</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告知</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拟作出的对相关人员责任认定的事实、理由</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w:t>
      </w:r>
    </w:p>
    <w:p w14:paraId="740ECCA2">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行政部门、医疗保障经办机构应当充分听取定点医药机构及相关人员对拟作出的行政处罚（处理）、协议处理及相关人员责任认定的解释说明和陈述申辩，对定点医药机构及相关人员提出的事实、理由和证据进行复核；定点医药机构及相关人员提出的事实、理由或者证据成立的，医疗保障行政部门、医疗保障经办机构应当采纳。</w:t>
      </w:r>
    </w:p>
    <w:p w14:paraId="17FD3C88">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第十二条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医疗保障行政部门在对定点医药机构作出行政处罚（处理）时，或者医疗保障经办机构在对定点医药机构作出协议处理时，原则上应当同步认定相关人员责任。</w:t>
      </w:r>
    </w:p>
    <w:p w14:paraId="283EFB79">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因案情复杂</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等特殊</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原因，不能在</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行政处罚（处理）或者协议处理</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规定</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期限</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内同步认定相关人员责任</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的，经医疗保障行政部门</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或者医疗保障经办机构</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负责人批准，可以</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在作出行政处罚（处理）或者协议处理决定后</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60</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日</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内认定相关人员责任</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p>
    <w:p w14:paraId="2833D091">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医疗保障行政部门应当将行政处罚（处理）决定书及相关人员责任认定信息即时通报或者共享至与定点医药机构签订医保协议的医疗保障经办机构。</w:t>
      </w:r>
    </w:p>
    <w:p w14:paraId="58C4E7C6">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第三章  记分细则</w:t>
      </w:r>
    </w:p>
    <w:p w14:paraId="3244C41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第十三条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医</w:t>
      </w:r>
      <w:r>
        <w:rPr>
          <w:rFonts w:hint="eastAsia" w:ascii="Times New Roman" w:hAnsi="Times New Roman" w:eastAsia="仿宋_GB2312" w:cs="仿宋_GB2312"/>
          <w:i w:val="0"/>
          <w:caps w:val="0"/>
          <w:color w:val="000000" w:themeColor="text1"/>
          <w:spacing w:val="-6"/>
          <w:kern w:val="0"/>
          <w:sz w:val="32"/>
          <w:szCs w:val="32"/>
          <w:highlight w:val="none"/>
          <w:shd w:val="clear" w:fill="FFFFFF"/>
          <w:lang w:val="en-US" w:eastAsia="zh-CN" w:bidi="ar"/>
          <w14:textFill>
            <w14:solidFill>
              <w14:schemeClr w14:val="tx1"/>
            </w14:solidFill>
          </w14:textFill>
        </w:rPr>
        <w:t>疗保障经办机构根据行政处罚</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（处理）</w:t>
      </w:r>
      <w:r>
        <w:rPr>
          <w:rFonts w:hint="eastAsia" w:ascii="Times New Roman" w:hAnsi="Times New Roman" w:eastAsia="仿宋_GB2312" w:cs="仿宋_GB2312"/>
          <w:i w:val="0"/>
          <w:caps w:val="0"/>
          <w:color w:val="000000" w:themeColor="text1"/>
          <w:spacing w:val="-6"/>
          <w:kern w:val="0"/>
          <w:sz w:val="32"/>
          <w:szCs w:val="32"/>
          <w:highlight w:val="none"/>
          <w:shd w:val="clear" w:fill="FFFFFF"/>
          <w:lang w:val="en-US" w:eastAsia="zh-CN" w:bidi="ar"/>
          <w14:textFill>
            <w14:solidFill>
              <w14:schemeClr w14:val="tx1"/>
            </w14:solidFill>
          </w14:textFill>
        </w:rPr>
        <w:t>或者协议处理后即时通报或者共享的责任认定信息对相关人员进行记分。</w:t>
      </w:r>
    </w:p>
    <w:p w14:paraId="4D644201">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第十四条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对同一医保基金使用违法违规负面情形负一般责任者、重要责任者、主要责任者应按对应记分档次内从低到高记分。对主动交代情况、如实说明问题、主动挽回损失、消除不利影响的相关责任人员，可在同一记分档次内从轻记分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减轻一档记分。对强迫或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教唆他人违法违规、拒不配合、存在主观故意、拒不改正的相关责任人员，可在同一记分档次内从重记分或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加重一档记分。</w:t>
      </w:r>
    </w:p>
    <w:p w14:paraId="317D149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第十五条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在同一次监督检查中，发现涉及医疗保障基金使用的相关责任人员有不同类型违法违规行为的，应分别记分，累加分值。同一违法违规行为涉及不同负面情形的，按最高分值记分，不分别记分。</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因定点医药机构与不同统筹地区医疗保障经办机构分别签订医保协议，不同统筹地区医疗保障经办机构对同一定点医药机构的同一类型违法违规行为分别作出协议处理的，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按最高分值记分，不分别记分。多点执业的医师在各执业点记分应累积计算。</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担任多家定点零售药店主要负责人的人员在各定点零售药店记分应累积计算。</w:t>
      </w:r>
    </w:p>
    <w:p w14:paraId="55A1228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 xml:space="preserve">第十六条 </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相关人员</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记分以行政处罚</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（处理）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、协议处理作出时为记分时点。记分在一个自然年度内累加计算，下一个自然年度自动清零。</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满分为</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12分，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记分档次分为1—3分、4—6分、7—9分、10—12分。</w:t>
      </w:r>
    </w:p>
    <w:p w14:paraId="0AB0C5FE">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第十七条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涉及医疗保障基金使用的相关责任人员出现以下负面情形，一个自然年度内，根据行为性质和负有一般责任、重要责任、主要责任的责任程度，每次记1—3分：</w:t>
      </w:r>
    </w:p>
    <w:p w14:paraId="44E18E7B">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（一）相关人员所在定点医药机构违反服务协议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受到</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经办机构协议处理，协议处理方式包括以《医疗机构医疗保障定点管理暂行办法》第三十八条第四</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“要求定点医疗机构按照协议约定支付违约金”</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《零售药店医疗保障定点管理暂行办法》第三十五条第三</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“要求定点零售药店按照医保协议约定支付违约金”，该人员负有责任的；</w:t>
      </w:r>
    </w:p>
    <w:p w14:paraId="6F213391">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（二）执行药品耗材集中带量采购政策中，公立医疗机构相关人员无正当理由超过规定要求使用高价非中选产品，被医保部门通报的；</w:t>
      </w:r>
    </w:p>
    <w:p w14:paraId="72AC8708">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（三）</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市级医疗保障行政部门规定的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其他应</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当</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记1—3分的情形。</w:t>
      </w:r>
    </w:p>
    <w:p w14:paraId="3C383F92">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第十八条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涉</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及医疗保障基金使用的相关责任人员出现以下负面情形，一个自然年度内，根据行为性质和负有一般责任、重要责任、主要责任的责任程度，每次记4—6分：</w:t>
      </w:r>
    </w:p>
    <w:p w14:paraId="78732FF6">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（一）相关人员所在定点医药机构或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科室涉及违反医疗保障相关法律法规，受到医疗保障行政部门依据《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医疗保障基金使用监督管理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条例》第三十八条、第三十九条作出行政处罚，该人员负有责任的；</w:t>
      </w:r>
    </w:p>
    <w:p w14:paraId="0A98928A">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（二）</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市级医疗保障行政部门规定的其他</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应</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当</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记4—6分的情形。</w:t>
      </w:r>
    </w:p>
    <w:p w14:paraId="648DF262">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第十九条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涉及医疗保障基金使用的相关人员出现以下负面情形，一个自然年度内，根据行为性质和负有一般责任、重要责任、主要责任的责任程度，每次记7—9分：</w:t>
      </w:r>
    </w:p>
    <w:p w14:paraId="584B4BFB">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（一）为非登记备案相关人员，或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登记备案状态为暂停、终止的相关责任人员冒名提供医保费用结算的；</w:t>
      </w:r>
    </w:p>
    <w:p w14:paraId="09E60A9C">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（二）</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市级医疗保障行政部门规定的其他</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应记7—9分的情形。</w:t>
      </w:r>
    </w:p>
    <w:p w14:paraId="02DBFA72">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涉及医疗保障基金使用的相关人员出现以下负面情形，一个自然年度内，根据行为性质和负有一般责任、重要责任、主要责任的责任程度，每次记10—12分：</w:t>
      </w:r>
    </w:p>
    <w:p w14:paraId="608DC227">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（一）相关人员所在定点医药机构或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科室涉及违反医疗保障相关法律法规，受到医疗保障行政部门依据《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医疗保障基金使用监督管理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条例》第四十条作出行政处罚，该人员负有责任的；</w:t>
      </w:r>
    </w:p>
    <w:p w14:paraId="68F8F76F">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（二）被行业主管部门注销注册、吊销或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撤销卫生专业技术资格证书或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执业证书的；</w:t>
      </w:r>
    </w:p>
    <w:p w14:paraId="4831C63D">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（三）</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市级医疗保障行政部门规定的其他</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应</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当</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记10—12分的情形。</w:t>
      </w:r>
    </w:p>
    <w:p w14:paraId="629FE443">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第四章  管理措施</w:t>
      </w:r>
    </w:p>
    <w:p w14:paraId="4029CAEA">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第二十一条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经办机构在作出协议处理</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决定</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者收</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到医</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疗保障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行政部门行政处罚</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（处理）决定</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书</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和</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责任认定信息</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之日起</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个工作日内，</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应当核对相关人员当年累计记分情况，</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根据相关人员记分情况</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作出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处理通知书。</w:t>
      </w:r>
    </w:p>
    <w:p w14:paraId="26575455">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第二十二条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经办机构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应当在作出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处理通知书后3个工作日内</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送达相关责任人员</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发生本次记分处理行为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所在</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定点医药机构。相关责任人员登记备案状态需维护为暂停或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终止的，其</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发生本次记分处理行为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所在</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定点医药机构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在收到</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处理通知书</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之日起</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3个工作日内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完成登记备案状态维护。</w:t>
      </w:r>
    </w:p>
    <w:p w14:paraId="116D5EDD">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第二十三条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定点医药机构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收到记分处理通知书后，及时通知相关责任人员，并对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相关责任人员</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进行</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谈话</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教育</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提醒</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并</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做好记录，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根据医疗保障经办机构的记分结果，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按</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照</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要求完整准确及时</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地对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相关人员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登记备案</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状态进行动态维护</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，定期组织相关责任人员进行医保</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政策法规和</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业务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知识学习</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p>
    <w:p w14:paraId="54985B18">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第二十四条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医疗保障经办机构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应当</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依据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一个自然年度的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记分情况，对相关</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责任</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人员采取以下措施：</w:t>
      </w:r>
    </w:p>
    <w:p w14:paraId="3279C656">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（一）记分累计</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未达到</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9分的，医疗保障经办机构向相关责任人员</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所在定点医药机构通报记分情况，并根据实际情况对相关责任人员进行谈话提醒，定期组织医保政策法规和业务知识学习</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w:t>
      </w:r>
    </w:p>
    <w:p w14:paraId="1E00CC58">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（二）记分累计达到9分，医疗保障经办机构暂停医保支付资格</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个月；</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单次记分达到9分的，暂停医保支付资格</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2</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个月。</w:t>
      </w:r>
    </w:p>
    <w:p w14:paraId="66434010">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16" w:firstLineChars="200"/>
        <w:textAlignment w:val="auto"/>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pP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（三）记分累计达到10分，医疗保障经办机构暂停医保支付资格</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3</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个月；单次记分达到10分的，暂停医保支付资格</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4</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个月。</w:t>
      </w:r>
    </w:p>
    <w:p w14:paraId="64CD699D">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16" w:firstLineChars="200"/>
        <w:textAlignment w:val="auto"/>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pP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（四）记分累计达到11分，医疗保障经办机构暂停医保支付资格5个月；单次记分达到11分的，暂停医保支付资格</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6</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个月。</w:t>
      </w:r>
    </w:p>
    <w:p w14:paraId="5B458F14">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五</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）记分累计达到12分，医疗保障经办机构终止医保支付资格，终止之日起１年内不得再次登记备案。</w:t>
      </w:r>
    </w:p>
    <w:p w14:paraId="154A22D9">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六</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）单次记分为12分，医疗保障经办机构终止医保支付资格，终止之日起3年内不得再次登记备案。</w:t>
      </w:r>
    </w:p>
    <w:p w14:paraId="03668171">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第二十五条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在一家定点医药机构登记备案状态为暂停或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终止的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多点执业医</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师</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，在其他定点医药机构登记备案状态自动调整为暂停或</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终止</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，未执业的其他定点医药机构不得为其</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登记备案。</w:t>
      </w:r>
    </w:p>
    <w:p w14:paraId="654E4292">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定点零售药店主要负责人登记备案状态为暂停或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终止的，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相应责任人员</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在其名下其他定点零售药店登记备案状态自动调整为暂停或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终止。</w:t>
      </w:r>
    </w:p>
    <w:p w14:paraId="1C5C384F">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第二十六条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定点医药机构或者其相关责任部门（科室）被中止医保协议、中止（责令暂停）涉及医疗保障基金使用的医疗服务，应一并将相关责任人员登记备案状态调整为暂停；定点医药机构被解除医保协议的，应当一并将相关责任人员登记备案状态调整为终止。相关人员对违法违规行为不负有责任的，登记备案状态仍为正常，不影响其在其他定点医药机构或者其他部门（科室）的执业（就业）。</w:t>
      </w:r>
    </w:p>
    <w:p w14:paraId="4FE80D77">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第二十七条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行政部门依据《医疗保障基金使用监督管理条例》第三十八条、第四十条规定，责令定点医药机构暂停相关责任部门6个月以上1年以下涉及医疗保障基金使用的医药服务的，应当对相关人员进行责任认定。医疗保障经办机构根据责任认定信息暂停相关责任人员的医保支付资格。对承担主要责任的相关人员，暂停医保支付资格的期限与暂停相关责任部门涉及医疗保障基金使用的医药服务的期限相同；对承担重要责任、一般责任的相关</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人员，在承担主要责任相关人员暂停医保支付资格期限的基础上依次减少1至3个月的暂停医保支付资格期限。</w:t>
      </w:r>
    </w:p>
    <w:p w14:paraId="5FCB5B94">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第二十八条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医疗保障经办机构依据《医疗机构医疗保障定点管理暂行办法》《零售药店医疗保障定点管理暂行办法》的规定及医保协议约定，中止定点医疗机构所在部门涉及医疗保障基金使用的医疗服务或者中止定点医药机构医保协议的，应当对相关人员进行责任认定，并根据责任认定信息暂停相关责任人员的医保支付资格。对承担主要责任的相关人员，暂停医保支付资格的期限与中止涉及医疗保障基金使用的医疗服务或者中止医保协议的期限相同；对承担重要责任、一般责任的相关人员，在承担主要责任相关人员暂停医保支付资格期限的基础上依次减少1至3个月的暂停医保支付资格期限。</w:t>
      </w:r>
    </w:p>
    <w:p w14:paraId="6B972E76">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第二十九条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医疗保障经办机构依据《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医疗机构医疗保障定点管理暂行办法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零售药店医疗保障定点管理暂行办法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》的规定及医保协议约定，</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解除定点医药机构医保协议的，</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应当对相关人员进行责任认定，并根据责任认定信息终止相关责任人员的医保支付资格。对承担主要责任的相关人员，终止医保支付资格的期限与《</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医疗机构医疗保障定点管理暂行办法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》第十二条和《</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零售药店医疗保障定点管理暂行办法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》第十一条规定</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的不予受理定点申请的期限相同；</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对承担重要责任、一般责任的相关人员，在承担主要责任相关人员终止医保支付资格期限的基础上依次减少3至6个月的终止医保支付资格期限。</w:t>
      </w:r>
    </w:p>
    <w:p w14:paraId="26E624C3">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对一个自然年度内登记备案状态为暂停或者终止的人次超过一定比例的定点医药机构，</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医疗保障经办机构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视情况采取相应惩处措施。</w:t>
      </w:r>
    </w:p>
    <w:p w14:paraId="54A3DE75">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第三十一条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 xml:space="preserve"> 定点医药机构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应当对相关人员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医保支付资格状况</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进行有效标识，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向相关人员开放登记备案状态、记分等情况查询</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，并在一定范围内公开，警示其他医务人员，让参保人及其家属在医疗服务过程中充分知晓</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14:paraId="228F81C9">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第五章  修复机制</w:t>
      </w:r>
    </w:p>
    <w:p w14:paraId="2FF3302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第三十二条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 xml:space="preserve"> 相关</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责任</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在一个自然年度内未出现单次记分10</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12分的负面情形</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积极配合定点医药机构履行医疗保障行政部门作出的行政处罚</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（处理）</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决定或者医疗保障经办机构作出的协议处理决定，全面改正涉及本人的违法违规违约行为，主动参与医疗保障管理相关工作，</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提出记分修复申请的，经其所在定点医药机构审核同意后，报属地</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经办机构。</w:t>
      </w:r>
    </w:p>
    <w:p w14:paraId="16ED6B7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第三十三条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经办机构收到申请后，</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组织专家审议相关人员的整改措施，</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对相关人员整改情况进行复核，可以</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采取以下</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修复措施。</w:t>
      </w:r>
    </w:p>
    <w:p w14:paraId="2C834D8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（一）按照要求参加医疗保障行政部门、医疗保障经办机构组织的医疗保障基金监管集中宣传月、医疗保障政策法规宣传等公益活动的，每次减免1分。</w:t>
      </w:r>
    </w:p>
    <w:p w14:paraId="522E532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（二）在医疗保障基金年度清算结束前，主动检查本机构涉及本人的医疗保障基金使用情况，全部退回涉及本人的违法违规医疗保障基金、彻底纠正违法违规行为的，减免2分。</w:t>
      </w:r>
    </w:p>
    <w:p w14:paraId="5D003D0A">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b w:val="0"/>
          <w:bCs w:val="0"/>
          <w:caps w:val="0"/>
          <w:color w:val="000000" w:themeColor="text1"/>
          <w:highlight w:val="none"/>
          <w:lang w:val="en-US" w:eastAsia="zh-CN"/>
          <w14:textFill>
            <w14:solidFill>
              <w14:schemeClr w14:val="tx1"/>
            </w14:solidFill>
          </w14:textFill>
        </w:rPr>
      </w:pP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各市医疗保障部门应当结合本地实际，进一步细化相关人员参加医疗保障部门组织的学习培训、受到医疗保障部门表彰表扬、投诉举报医疗保障基金违法违规行为受到奖励等修复措施。</w:t>
      </w:r>
    </w:p>
    <w:p w14:paraId="52F486A4">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eastAsia="仿宋_GB2312" w:cs="仿宋_GB2312"/>
          <w:caps w:val="0"/>
          <w:color w:val="000000" w:themeColor="text1"/>
          <w:sz w:val="32"/>
          <w:szCs w:val="32"/>
          <w:highlight w:val="none"/>
          <w:lang w:val="en-US"/>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第三十四条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相关责任人员在</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一个</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自然年度的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记分周期内</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最高</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可以累计</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减免</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6分。</w:t>
      </w:r>
    </w:p>
    <w:p w14:paraId="5B45E1B3">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第三十五条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aps w:val="0"/>
          <w:strike w:val="0"/>
          <w:color w:val="000000" w:themeColor="text1"/>
          <w:sz w:val="32"/>
          <w:szCs w:val="32"/>
          <w:highlight w:val="none"/>
          <w:lang w:val="en-US" w:eastAsia="zh-CN"/>
          <w14:textFill>
            <w14:solidFill>
              <w14:schemeClr w14:val="tx1"/>
            </w14:solidFill>
          </w14:textFill>
        </w:rPr>
        <w:t>相关人员登记备案状态为暂停的，修复记分后，每减免1分，可以缩短1个月的暂停医保支付资格期限；相关人员登记备案状态为终止的，修复记分后，每减免1分，可以缩短1个月的再次申请登记备案时限。</w:t>
      </w:r>
    </w:p>
    <w:p w14:paraId="35C1F7B4">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51"/>
        <w:textAlignment w:val="auto"/>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第三十六条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 xml:space="preserve"> 相关人员登记备案状态暂停、终止期满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前15</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个工作日，由相关</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责任</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人员提出资格恢复申请，经其所在定点医药机构审核同意后，报</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当地医疗保障</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经办机构。医保经办机构收到申请后，</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原则上</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10个工作日内进行评估并将结果告知</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该</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定点医药机构。</w:t>
      </w:r>
    </w:p>
    <w:p w14:paraId="13580EF9">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通过评估的，恢复相关人员医保支付资格，</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经办机构通知相关人员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发生记分处理行为</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所在</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定点医药机构，将登记备案状态维护为正常。其中，暂停资格恢复的，年度内记分累计计算</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因再次出现负面情形被记分应当暂停更长期限医保支付资格的，原暂停医保支付资格的期限累积计算，医疗保障经办机构应当追加暂停剩余期限的医保支付资格</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因再次出现负面情形被记分应当终止医保支付资格的，原暂停医保支付资格的期限不累积计算</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终止资格恢复的，需重新作出承诺和登记备案</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p>
    <w:p w14:paraId="7B8A1425">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51"/>
        <w:textAlignment w:val="auto"/>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未通过评估的，</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经办机构告知相关人员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发生记分处理行为</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所在</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定点医药机构，由定点医药机构通知相关人员。</w:t>
      </w:r>
    </w:p>
    <w:p w14:paraId="3E572920">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第六章  异议申诉</w:t>
      </w:r>
    </w:p>
    <w:p w14:paraId="05DC79D4">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第三十七条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医疗保障行政部门、医疗保障经办机构、定点医药机构应当按照“谁作出、谁负责，谁认定、谁负责，谁调整、谁负责”的原则，按照职责分工分别做好定点医药机构相关人员医保支付资格的异议申诉工作。</w:t>
      </w:r>
    </w:p>
    <w:p w14:paraId="72672D7E">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第三十八条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医疗保障行政部门的行政处罚（处理）决定、医疗保障经办机构的协议处理决定</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被依法变更或者撤销的，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对定点医药机构相关人员的责任认定</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信息及对应记分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应当</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同步</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变更或者撤销。</w:t>
      </w:r>
    </w:p>
    <w:p w14:paraId="11409323">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sz w:val="32"/>
          <w:szCs w:val="32"/>
          <w:highlight w:val="none"/>
          <w:lang w:val="en-US" w:eastAsia="zh-CN"/>
          <w14:textFill>
            <w14:solidFill>
              <w14:schemeClr w14:val="tx1"/>
            </w14:solidFill>
          </w14:textFill>
        </w:rPr>
        <w:t>第三十九条</w:t>
      </w:r>
      <w:r>
        <w:rPr>
          <w:rFonts w:hint="eastAsia" w:ascii="Times New Roman" w:hAnsi="Times New Roman" w:eastAsia="仿宋_GB2312" w:cs="仿宋_GB2312"/>
          <w:b/>
          <w:bCs/>
          <w:cap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定点医药机构或者相关责任人员对医疗保障经办机构作出的记分或者登记备案状态存在异议的，在收到处理通知书后10个工作日内，向医疗保障经办机构提出书面申诉，陈述申辩材料需经相关责任人员签字及定点医药机构盖章确认。逾期未申诉的，视为对医疗保障经办机构作出的记分处理或者登记备案状态无异议。</w:t>
      </w:r>
    </w:p>
    <w:p w14:paraId="3742DC46">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sz w:val="32"/>
          <w:szCs w:val="32"/>
          <w:highlight w:val="none"/>
          <w:lang w:val="en-US" w:eastAsia="zh-CN"/>
          <w14:textFill>
            <w14:solidFill>
              <w14:schemeClr w14:val="tx1"/>
            </w14:solidFill>
          </w14:textFill>
        </w:rPr>
        <w:t>第四十条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医疗保障行政部门、医疗保障经办机构、定点医药机构应当建立健全相关人员医保支付资格争议处理机制，畅通异议申诉渠道，受理定点医药机构及其相关人员对责任认定、记分结果、登记备案状态动态维护异议提出的陈述、申辩。对存在争议的专业性问题，组织第三方专业机构或者专家组评估鉴定，确保责任认定、记分管理、状态维护等公平公正合理。</w:t>
      </w:r>
    </w:p>
    <w:p w14:paraId="718ABDB8">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default"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医疗保障行政部门、医疗保障经办机构原则上应当在收到异议申诉材料后20个工作日内完成异议申诉核实，并确认异议申诉结果，自确认异议申诉结果之日起3个工作日内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书面告知定点医药机构和相关人员，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需要第三方专业机构或者专家组评估鉴定的时间除外。</w:t>
      </w:r>
    </w:p>
    <w:p w14:paraId="36165AFA">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sz w:val="32"/>
          <w:szCs w:val="32"/>
          <w:highlight w:val="none"/>
          <w:lang w:val="en-US" w:eastAsia="zh-CN"/>
          <w14:textFill>
            <w14:solidFill>
              <w14:schemeClr w14:val="tx1"/>
            </w14:solidFill>
          </w14:textFill>
        </w:rPr>
        <w:t xml:space="preserve">第四十一条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确需修改处理结果的，医疗保障经办机构及时调整记分情况，涉及登记备案状态调整的，医疗保障经办机构应当及时通知定点医药机构维护登记备案状态；维持原状的，作出维持决定的医疗保障行政部门或者医疗保障经办机构应当向定点医药机构及相关责任人员告知原因、说明情况。</w:t>
      </w:r>
    </w:p>
    <w:p w14:paraId="2178AC13">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第七章  附  则</w:t>
      </w:r>
    </w:p>
    <w:p w14:paraId="5BCB8549">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sz w:val="32"/>
          <w:szCs w:val="32"/>
          <w:highlight w:val="none"/>
          <w:lang w:val="en-US" w:eastAsia="zh-CN"/>
          <w14:textFill>
            <w14:solidFill>
              <w14:schemeClr w14:val="tx1"/>
            </w14:solidFill>
          </w14:textFill>
        </w:rPr>
        <w:t>第四十二条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本实施细则由山东省医疗保障局负责解释。</w:t>
      </w:r>
    </w:p>
    <w:p w14:paraId="006A6370">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sectPr>
          <w:footerReference r:id="rId3" w:type="default"/>
          <w:pgSz w:w="11906" w:h="16838"/>
          <w:pgMar w:top="2098" w:right="1474" w:bottom="153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黑体" w:hAnsi="黑体" w:eastAsia="黑体" w:cs="黑体"/>
          <w:b w:val="0"/>
          <w:bCs w:val="0"/>
          <w:caps w:val="0"/>
          <w:color w:val="000000" w:themeColor="text1"/>
          <w:sz w:val="32"/>
          <w:szCs w:val="32"/>
          <w:highlight w:val="none"/>
          <w:lang w:val="en-US" w:eastAsia="zh-CN"/>
          <w14:textFill>
            <w14:solidFill>
              <w14:schemeClr w14:val="tx1"/>
            </w14:solidFill>
          </w14:textFill>
        </w:rPr>
        <w:t>第四</w:t>
      </w: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十三</w:t>
      </w:r>
      <w:r>
        <w:rPr>
          <w:rFonts w:hint="eastAsia" w:ascii="黑体" w:hAnsi="黑体" w:eastAsia="黑体" w:cs="黑体"/>
          <w:b w:val="0"/>
          <w:bCs w:val="0"/>
          <w:caps w:val="0"/>
          <w:color w:val="000000" w:themeColor="text1"/>
          <w:sz w:val="32"/>
          <w:szCs w:val="32"/>
          <w:highlight w:val="none"/>
          <w:lang w:val="en-US" w:eastAsia="zh-CN"/>
          <w14:textFill>
            <w14:solidFill>
              <w14:schemeClr w14:val="tx1"/>
            </w14:solidFill>
          </w14:textFill>
        </w:rPr>
        <w:t>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本实施细则于2025年4月1日起施行，有效期至2026年12月31日。</w:t>
      </w:r>
    </w:p>
    <w:p w14:paraId="65E336AD">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rPr>
          <w:rFonts w:hint="default" w:ascii="Times New Roman" w:hAnsi="Times New Roman" w:eastAsia="黑体" w:cs="黑体"/>
          <w:cap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黑体"/>
          <w:caps w:val="0"/>
          <w:color w:val="000000" w:themeColor="text1"/>
          <w:sz w:val="32"/>
          <w:szCs w:val="32"/>
          <w:highlight w:val="none"/>
          <w:lang w:eastAsia="zh-CN"/>
          <w14:textFill>
            <w14:solidFill>
              <w14:schemeClr w14:val="tx1"/>
            </w14:solidFill>
          </w14:textFill>
        </w:rPr>
        <w:t>附件</w:t>
      </w:r>
    </w:p>
    <w:p w14:paraId="0D42DB0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方正小标宋_GBK" w:cs="方正小标宋_GBK"/>
          <w:caps w:val="0"/>
          <w:color w:val="000000" w:themeColor="text1"/>
          <w:sz w:val="44"/>
          <w:szCs w:val="44"/>
          <w:highlight w:val="none"/>
          <w:lang w:eastAsia="zh-CN"/>
          <w14:textFill>
            <w14:solidFill>
              <w14:schemeClr w14:val="tx1"/>
            </w14:solidFill>
          </w14:textFill>
        </w:rPr>
      </w:pPr>
    </w:p>
    <w:p w14:paraId="17380B7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eastAsia" w:ascii="方正小标宋简体" w:hAnsi="方正小标宋简体" w:eastAsia="方正小标宋简体" w:cs="方正小标宋简体"/>
          <w:caps w:val="0"/>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aps w:val="0"/>
          <w:color w:val="000000" w:themeColor="text1"/>
          <w:sz w:val="44"/>
          <w:szCs w:val="44"/>
          <w:highlight w:val="none"/>
          <w:lang w:eastAsia="zh-CN"/>
          <w14:textFill>
            <w14:solidFill>
              <w14:schemeClr w14:val="tx1"/>
            </w14:solidFill>
          </w14:textFill>
        </w:rPr>
        <w:t>定点医药机构相关人员责任认定告知书</w:t>
      </w:r>
    </w:p>
    <w:p w14:paraId="6F6F0D6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rPr>
          <w:rFonts w:hint="default" w:ascii="Times New Roman" w:hAnsi="Times New Roman" w:eastAsia="仿宋_GB2312" w:cs="仿宋_GB2312"/>
          <w:caps w:val="0"/>
          <w:color w:val="000000" w:themeColor="text1"/>
          <w:sz w:val="28"/>
          <w:szCs w:val="28"/>
          <w:highlight w:val="none"/>
          <w:u w:val="single"/>
          <w:lang w:val="en-US" w:eastAsia="zh-CN"/>
          <w14:textFill>
            <w14:solidFill>
              <w14:schemeClr w14:val="tx1"/>
            </w14:solidFill>
          </w14:textFill>
        </w:rPr>
      </w:pPr>
      <w:r>
        <w:rPr>
          <w:rFonts w:hint="eastAsia" w:ascii="Times New Roman" w:hAnsi="Times New Roman" w:eastAsia="方正小标宋_GBK" w:cs="方正小标宋_GBK"/>
          <w:caps w:val="0"/>
          <w:color w:val="000000" w:themeColor="text1"/>
          <w:sz w:val="44"/>
          <w:szCs w:val="44"/>
          <w:highlight w:val="no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28"/>
          <w:szCs w:val="28"/>
          <w:highlight w:val="none"/>
          <w:lang w:eastAsia="zh-CN"/>
          <w14:textFill>
            <w14:solidFill>
              <w14:schemeClr w14:val="tx1"/>
            </w14:solidFill>
          </w14:textFill>
        </w:rPr>
        <w:t>文号</w:t>
      </w:r>
      <w:r>
        <w:rPr>
          <w:rFonts w:hint="eastAsia" w:ascii="Times New Roman" w:hAnsi="Times New Roman" w:eastAsia="仿宋_GB2312" w:cs="仿宋_GB2312"/>
          <w:caps w:val="0"/>
          <w:color w:val="000000" w:themeColor="text1"/>
          <w:sz w:val="28"/>
          <w:szCs w:val="28"/>
          <w:highlight w:val="none"/>
          <w:u w:val="single"/>
          <w:lang w:eastAsia="zh-CN"/>
          <w14:textFill>
            <w14:solidFill>
              <w14:schemeClr w14:val="tx1"/>
            </w14:solidFill>
          </w14:textFill>
        </w:rPr>
        <w:t>：</w:t>
      </w:r>
      <w:r>
        <w:rPr>
          <w:rFonts w:hint="eastAsia" w:ascii="Times New Roman" w:hAnsi="Times New Roman" w:eastAsia="仿宋_GB2312" w:cs="仿宋_GB2312"/>
          <w:caps w:val="0"/>
          <w:color w:val="000000" w:themeColor="text1"/>
          <w:sz w:val="28"/>
          <w:szCs w:val="28"/>
          <w:highlight w:val="none"/>
          <w:u w:val="single"/>
          <w:lang w:val="en-US" w:eastAsia="zh-CN"/>
          <w14:textFill>
            <w14:solidFill>
              <w14:schemeClr w14:val="tx1"/>
            </w14:solidFill>
          </w14:textFill>
        </w:rPr>
        <w:t xml:space="preserve">            </w:t>
      </w:r>
    </w:p>
    <w:p w14:paraId="1DD9E5C4">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textAlignment w:val="auto"/>
        <w:rPr>
          <w:rFonts w:hint="eastAsia" w:ascii="Times New Roman" w:hAnsi="Times New Roman" w:eastAsia="仿宋_GB2312" w:cs="仿宋_GB2312"/>
          <w:caps w:val="0"/>
          <w:color w:val="000000" w:themeColor="text1"/>
          <w:sz w:val="28"/>
          <w:szCs w:val="28"/>
          <w:highlight w:val="none"/>
          <w:lang w:eastAsia="zh-CN"/>
          <w14:textFill>
            <w14:solidFill>
              <w14:schemeClr w14:val="tx1"/>
            </w14:solidFill>
          </w14:textFill>
        </w:rPr>
      </w:pPr>
      <w:r>
        <w:rPr>
          <w:rFonts w:hint="eastAsia" w:ascii="Times New Roman" w:hAnsi="Times New Roman" w:eastAsia="仿宋_GB2312" w:cs="仿宋_GB2312"/>
          <w:caps w:val="0"/>
          <w:color w:val="000000" w:themeColor="text1"/>
          <w:sz w:val="28"/>
          <w:szCs w:val="28"/>
          <w:highlight w:val="none"/>
          <w:lang w:eastAsia="zh-CN"/>
          <w14:textFill>
            <w14:solidFill>
              <w14:schemeClr w14:val="tx1"/>
            </w14:solidFill>
          </w14:textFill>
        </w:rPr>
        <w:t>定点医药机构名称：</w:t>
      </w:r>
    </w:p>
    <w:tbl>
      <w:tblPr>
        <w:tblStyle w:val="7"/>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182"/>
        <w:gridCol w:w="919"/>
        <w:gridCol w:w="893"/>
        <w:gridCol w:w="1550"/>
        <w:gridCol w:w="3034"/>
      </w:tblGrid>
      <w:tr w14:paraId="210C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78" w:type="dxa"/>
            <w:vMerge w:val="restart"/>
            <w:vAlign w:val="center"/>
          </w:tcPr>
          <w:p w14:paraId="5B697F7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姓</w:t>
            </w:r>
            <w:r>
              <w:rPr>
                <w:rFonts w:hint="eastAsia" w:ascii="Times New Roman" w:hAnsi="Times New Roman" w:eastAsia="仿宋_GB2312" w:cs="仿宋_GB2312"/>
                <w:caps w:val="0"/>
                <w:color w:val="000000" w:themeColor="text1"/>
                <w:sz w:val="24"/>
                <w:szCs w:val="24"/>
                <w:highlight w:val="none"/>
                <w:vertAlign w:val="baseli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名</w:t>
            </w:r>
          </w:p>
        </w:tc>
        <w:tc>
          <w:tcPr>
            <w:tcW w:w="1182" w:type="dxa"/>
            <w:vMerge w:val="restart"/>
            <w:vAlign w:val="center"/>
          </w:tcPr>
          <w:p w14:paraId="1FD76DD2">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p>
        </w:tc>
        <w:tc>
          <w:tcPr>
            <w:tcW w:w="919" w:type="dxa"/>
            <w:vMerge w:val="restart"/>
            <w:vAlign w:val="center"/>
          </w:tcPr>
          <w:p w14:paraId="7E455C4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性别</w:t>
            </w:r>
          </w:p>
        </w:tc>
        <w:tc>
          <w:tcPr>
            <w:tcW w:w="893" w:type="dxa"/>
            <w:vMerge w:val="restart"/>
            <w:vAlign w:val="center"/>
          </w:tcPr>
          <w:p w14:paraId="52F4D422">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p>
        </w:tc>
        <w:tc>
          <w:tcPr>
            <w:tcW w:w="1550" w:type="dxa"/>
            <w:vAlign w:val="center"/>
          </w:tcPr>
          <w:p w14:paraId="5C2569B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身份证号码</w:t>
            </w:r>
          </w:p>
        </w:tc>
        <w:tc>
          <w:tcPr>
            <w:tcW w:w="3034" w:type="dxa"/>
            <w:vAlign w:val="center"/>
          </w:tcPr>
          <w:p w14:paraId="71E9A80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p>
        </w:tc>
      </w:tr>
      <w:tr w14:paraId="3197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78" w:type="dxa"/>
            <w:vMerge w:val="continue"/>
            <w:vAlign w:val="center"/>
          </w:tcPr>
          <w:p w14:paraId="404CE2A5">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p>
        </w:tc>
        <w:tc>
          <w:tcPr>
            <w:tcW w:w="1182" w:type="dxa"/>
            <w:vMerge w:val="continue"/>
            <w:vAlign w:val="center"/>
          </w:tcPr>
          <w:p w14:paraId="39C38019">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p>
        </w:tc>
        <w:tc>
          <w:tcPr>
            <w:tcW w:w="919" w:type="dxa"/>
            <w:vMerge w:val="continue"/>
            <w:vAlign w:val="center"/>
          </w:tcPr>
          <w:p w14:paraId="3AA394F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p>
        </w:tc>
        <w:tc>
          <w:tcPr>
            <w:tcW w:w="893" w:type="dxa"/>
            <w:vMerge w:val="continue"/>
            <w:vAlign w:val="center"/>
          </w:tcPr>
          <w:p w14:paraId="38D4935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p>
        </w:tc>
        <w:tc>
          <w:tcPr>
            <w:tcW w:w="1550" w:type="dxa"/>
            <w:vAlign w:val="center"/>
          </w:tcPr>
          <w:p w14:paraId="1D8516EA">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医保代码</w:t>
            </w:r>
          </w:p>
        </w:tc>
        <w:tc>
          <w:tcPr>
            <w:tcW w:w="3034" w:type="dxa"/>
            <w:vAlign w:val="center"/>
          </w:tcPr>
          <w:p w14:paraId="71CE36B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p>
        </w:tc>
      </w:tr>
      <w:tr w14:paraId="7B91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378" w:type="dxa"/>
            <w:vAlign w:val="center"/>
          </w:tcPr>
          <w:p w14:paraId="1C97F71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违规行为</w:t>
            </w:r>
          </w:p>
        </w:tc>
        <w:tc>
          <w:tcPr>
            <w:tcW w:w="7578" w:type="dxa"/>
            <w:gridSpan w:val="5"/>
            <w:vAlign w:val="center"/>
          </w:tcPr>
          <w:p w14:paraId="3E2C284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p>
        </w:tc>
      </w:tr>
      <w:tr w14:paraId="3D19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jc w:val="center"/>
        </w:trPr>
        <w:tc>
          <w:tcPr>
            <w:tcW w:w="1378" w:type="dxa"/>
            <w:vAlign w:val="center"/>
          </w:tcPr>
          <w:p w14:paraId="4168997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医疗保障行政部门、医疗保障经办机构责任认定</w:t>
            </w:r>
            <w:r>
              <w:rPr>
                <w:rFonts w:hint="eastAsia" w:ascii="Times New Roman" w:hAnsi="Times New Roman" w:eastAsia="仿宋_GB2312" w:cs="仿宋_GB2312"/>
                <w:caps w:val="0"/>
                <w:color w:val="000000" w:themeColor="text1"/>
                <w:sz w:val="24"/>
                <w:szCs w:val="24"/>
                <w:highlight w:val="none"/>
                <w:vertAlign w:val="baseline"/>
                <w:lang w:val="en-US" w:eastAsia="zh-CN"/>
                <w14:textFill>
                  <w14:solidFill>
                    <w14:schemeClr w14:val="tx1"/>
                  </w14:solidFill>
                </w14:textFill>
              </w:rPr>
              <w:t>初步</w:t>
            </w: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意见</w:t>
            </w:r>
          </w:p>
        </w:tc>
        <w:tc>
          <w:tcPr>
            <w:tcW w:w="7578" w:type="dxa"/>
            <w:gridSpan w:val="5"/>
            <w:vAlign w:val="center"/>
          </w:tcPr>
          <w:p w14:paraId="413D9AF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jc w:val="left"/>
              <w:textAlignment w:val="auto"/>
              <w:rPr>
                <w:rFonts w:hint="eastAsia" w:ascii="Times New Roman" w:hAnsi="Times New Roman" w:eastAsia="仿宋_GB2312" w:cs="仿宋_GB2312"/>
                <w:caps w:val="0"/>
                <w:color w:val="000000" w:themeColor="text1"/>
                <w:sz w:val="24"/>
                <w:szCs w:val="24"/>
                <w:highlight w:val="none"/>
                <w:u w:val="none"/>
                <w:vertAlign w:val="baseline"/>
                <w:lang w:val="en-US"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你单位存在</w:t>
            </w:r>
            <w:r>
              <w:rPr>
                <w:rFonts w:hint="eastAsia" w:ascii="Times New Roman" w:hAnsi="Times New Roman" w:eastAsia="仿宋_GB2312" w:cs="仿宋_GB2312"/>
                <w:caps w:val="0"/>
                <w:color w:val="000000" w:themeColor="text1"/>
                <w:sz w:val="24"/>
                <w:szCs w:val="24"/>
                <w:highlight w:val="none"/>
                <w:u w:val="single"/>
                <w:vertAlign w:val="baseli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违法违规违约使用医疗保障基金行为，构成《山东省定点医药机构相关人员医保支付资格管理实施细则（试行）》第</w:t>
            </w:r>
            <w:r>
              <w:rPr>
                <w:rFonts w:hint="eastAsia" w:ascii="Times New Roman" w:hAnsi="Times New Roman" w:eastAsia="仿宋_GB2312" w:cs="仿宋_GB2312"/>
                <w:caps w:val="0"/>
                <w:color w:val="000000" w:themeColor="text1"/>
                <w:sz w:val="24"/>
                <w:szCs w:val="24"/>
                <w:highlight w:val="none"/>
                <w:u w:val="single"/>
                <w:vertAlign w:val="baseli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24"/>
                <w:szCs w:val="24"/>
                <w:highlight w:val="none"/>
                <w:vertAlign w:val="baseline"/>
                <w:lang w:val="en-US" w:eastAsia="zh-CN"/>
                <w14:textFill>
                  <w14:solidFill>
                    <w14:schemeClr w14:val="tx1"/>
                  </w14:solidFill>
                </w14:textFill>
              </w:rPr>
              <w:t>条规定的情形</w:t>
            </w: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。你单位相关人员</w:t>
            </w:r>
            <w:r>
              <w:rPr>
                <w:rFonts w:hint="eastAsia" w:ascii="Times New Roman" w:hAnsi="Times New Roman" w:eastAsia="仿宋_GB2312" w:cs="仿宋_GB2312"/>
                <w:caps w:val="0"/>
                <w:color w:val="000000" w:themeColor="text1"/>
                <w:sz w:val="24"/>
                <w:szCs w:val="24"/>
                <w:highlight w:val="none"/>
                <w:u w:val="single"/>
                <w:vertAlign w:val="baseli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对违法违规违约行为起</w:t>
            </w:r>
            <w:r>
              <w:rPr>
                <w:rFonts w:hint="eastAsia" w:ascii="Times New Roman" w:hAnsi="Times New Roman" w:eastAsia="仿宋_GB2312" w:cs="仿宋_GB2312"/>
                <w:caps w:val="0"/>
                <w:color w:val="000000" w:themeColor="text1"/>
                <w:sz w:val="24"/>
                <w:szCs w:val="24"/>
                <w:highlight w:val="none"/>
                <w:u w:val="single"/>
                <w:vertAlign w:val="baseli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24"/>
                <w:szCs w:val="24"/>
                <w:highlight w:val="none"/>
                <w:vertAlign w:val="baseline"/>
                <w:lang w:val="en-US" w:eastAsia="zh-CN"/>
                <w14:textFill>
                  <w14:solidFill>
                    <w14:schemeClr w14:val="tx1"/>
                  </w14:solidFill>
                </w14:textFill>
              </w:rPr>
              <w:t>作用，</w:t>
            </w: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根据《山东省定点医药机构相关人员医保支付资格管理实施细则（试行）》第</w:t>
            </w:r>
            <w:r>
              <w:rPr>
                <w:rFonts w:hint="eastAsia" w:ascii="Times New Roman" w:hAnsi="Times New Roman" w:eastAsia="仿宋_GB2312" w:cs="仿宋_GB2312"/>
                <w:caps w:val="0"/>
                <w:color w:val="000000" w:themeColor="text1"/>
                <w:sz w:val="24"/>
                <w:szCs w:val="24"/>
                <w:highlight w:val="none"/>
                <w:u w:val="single"/>
                <w:vertAlign w:val="baseli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24"/>
                <w:szCs w:val="24"/>
                <w:highlight w:val="none"/>
                <w:vertAlign w:val="baseline"/>
                <w:lang w:val="en-US" w:eastAsia="zh-CN"/>
                <w14:textFill>
                  <w14:solidFill>
                    <w14:schemeClr w14:val="tx1"/>
                  </w14:solidFill>
                </w14:textFill>
              </w:rPr>
              <w:t>条的规定，应当</w:t>
            </w: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承担</w:t>
            </w:r>
            <w:r>
              <w:rPr>
                <w:rFonts w:hint="eastAsia" w:ascii="Times New Roman" w:hAnsi="Times New Roman" w:eastAsia="仿宋_GB2312" w:cs="仿宋_GB2312"/>
                <w:caps w:val="0"/>
                <w:color w:val="000000" w:themeColor="text1"/>
                <w:sz w:val="24"/>
                <w:szCs w:val="24"/>
                <w:highlight w:val="none"/>
                <w:u w:val="single"/>
                <w:vertAlign w:val="baseli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24"/>
                <w:szCs w:val="24"/>
                <w:highlight w:val="none"/>
                <w:vertAlign w:val="baseline"/>
                <w:lang w:val="en-US" w:eastAsia="zh-CN"/>
                <w14:textFill>
                  <w14:solidFill>
                    <w14:schemeClr w14:val="tx1"/>
                  </w14:solidFill>
                </w14:textFill>
              </w:rPr>
              <w:t>责任</w:t>
            </w:r>
            <w:r>
              <w:rPr>
                <w:rFonts w:hint="eastAsia" w:ascii="Times New Roman" w:hAnsi="Times New Roman" w:eastAsia="仿宋_GB2312" w:cs="仿宋_GB2312"/>
                <w:caps w:val="0"/>
                <w:color w:val="000000" w:themeColor="text1"/>
                <w:sz w:val="24"/>
                <w:szCs w:val="24"/>
                <w:highlight w:val="none"/>
                <w:u w:val="none"/>
                <w:vertAlign w:val="baseline"/>
                <w:lang w:val="en-US" w:eastAsia="zh-CN"/>
                <w14:textFill>
                  <w14:solidFill>
                    <w14:schemeClr w14:val="tx1"/>
                  </w14:solidFill>
                </w14:textFill>
              </w:rPr>
              <w:t>。你单位及相关人员可以自收到对本责任认定告知书之日起5日内向本部门或者本机构作出解释说明或者提出陈述申辩，本部门或者本机构将对你单位及相关人员提出的事实、理由和证据进行复核。</w:t>
            </w:r>
          </w:p>
          <w:p w14:paraId="0DA86DB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p>
          <w:p w14:paraId="02C4BA73">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医疗保障行政部门或者经办机构公章：</w:t>
            </w:r>
          </w:p>
          <w:p w14:paraId="3C5FF2C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日期：</w:t>
            </w:r>
          </w:p>
        </w:tc>
      </w:tr>
      <w:tr w14:paraId="1E48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378" w:type="dxa"/>
            <w:vAlign w:val="center"/>
          </w:tcPr>
          <w:p w14:paraId="4BF248E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定点医药机构盖章</w:t>
            </w:r>
          </w:p>
        </w:tc>
        <w:tc>
          <w:tcPr>
            <w:tcW w:w="7578" w:type="dxa"/>
            <w:gridSpan w:val="5"/>
            <w:vAlign w:val="center"/>
          </w:tcPr>
          <w:p w14:paraId="2E55A49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签收人：</w:t>
            </w:r>
          </w:p>
          <w:p w14:paraId="01A6850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日期</w:t>
            </w:r>
          </w:p>
        </w:tc>
      </w:tr>
      <w:tr w14:paraId="17C4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378" w:type="dxa"/>
            <w:vAlign w:val="center"/>
          </w:tcPr>
          <w:p w14:paraId="18C5EE14">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相关人员签字</w:t>
            </w:r>
          </w:p>
        </w:tc>
        <w:tc>
          <w:tcPr>
            <w:tcW w:w="7578" w:type="dxa"/>
            <w:gridSpan w:val="5"/>
            <w:vAlign w:val="center"/>
          </w:tcPr>
          <w:p w14:paraId="07CBA08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签收人：</w:t>
            </w:r>
          </w:p>
          <w:p w14:paraId="071B789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pPr>
            <w:r>
              <w:rPr>
                <w:rFonts w:hint="eastAsia" w:ascii="Times New Roman" w:hAnsi="Times New Roman" w:eastAsia="仿宋_GB2312" w:cs="仿宋_GB2312"/>
                <w:caps w:val="0"/>
                <w:color w:val="000000" w:themeColor="text1"/>
                <w:sz w:val="24"/>
                <w:szCs w:val="24"/>
                <w:highlight w:val="none"/>
                <w:vertAlign w:val="baseline"/>
                <w:lang w:eastAsia="zh-CN"/>
                <w14:textFill>
                  <w14:solidFill>
                    <w14:schemeClr w14:val="tx1"/>
                  </w14:solidFill>
                </w14:textFill>
              </w:rPr>
              <w:t>日期</w:t>
            </w:r>
          </w:p>
        </w:tc>
      </w:tr>
    </w:tbl>
    <w:p w14:paraId="4A9270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02CE95-D10D-4AA2-8BD8-3C917133A3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926AAC1-31E3-42B9-B700-598C478FAC3B}"/>
  </w:font>
  <w:font w:name="方正小标宋简体">
    <w:panose1 w:val="02000000000000000000"/>
    <w:charset w:val="86"/>
    <w:family w:val="auto"/>
    <w:pitch w:val="default"/>
    <w:sig w:usb0="00000001" w:usb1="08000000" w:usb2="00000000" w:usb3="00000000" w:csb0="00040000" w:csb1="00000000"/>
    <w:embedRegular r:id="rId3" w:fontKey="{AE1D9C22-9851-4C8C-824D-56AD2502ECB0}"/>
  </w:font>
  <w:font w:name="方正小标宋_GBK">
    <w:panose1 w:val="02000000000000000000"/>
    <w:charset w:val="86"/>
    <w:family w:val="auto"/>
    <w:pitch w:val="default"/>
    <w:sig w:usb0="A00002BF" w:usb1="38CF7CFA" w:usb2="00082016" w:usb3="00000000" w:csb0="00040001" w:csb1="00000000"/>
    <w:embedRegular r:id="rId4" w:fontKey="{AB2E2C84-C27B-44A6-8E93-106B69388834}"/>
  </w:font>
  <w:font w:name="仿宋_GB2312">
    <w:altName w:val="仿宋"/>
    <w:panose1 w:val="02010609030101010101"/>
    <w:charset w:val="86"/>
    <w:family w:val="auto"/>
    <w:pitch w:val="default"/>
    <w:sig w:usb0="00000000" w:usb1="00000000" w:usb2="00000000" w:usb3="00000000" w:csb0="00040000" w:csb1="00000000"/>
    <w:embedRegular r:id="rId5" w:fontKey="{A1CB8FF1-86B3-480B-8214-24874395A11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CD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-201295</wp:posOffset>
              </wp:positionV>
              <wp:extent cx="988695" cy="279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8695"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70EAB">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85pt;height:22pt;width:77.85pt;mso-position-horizontal:outside;mso-position-horizontal-relative:margin;z-index:251659264;mso-width-relative:page;mso-height-relative:page;" filled="f" stroked="f" coordsize="21600,21600" o:gfxdata="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R0Ql3WAAAABwEAAA8AAAAAAAAAAQAgAAAAIgAAAGRycy9kb3ducmV2&#10;LnhtbFBLAQIUABQAAAAIAIdO4kAycdRyNwIAAGEEAAAOAAAAAAAAAAEAIAAAACUBAABkcnMvZTJv&#10;RG9jLnhtbFBLBQYAAAAABgAGAFkBAADOBQAAAAA=&#10;">
              <v:fill on="f" focussize="0,0"/>
              <v:stroke on="f" weight="0.5pt"/>
              <v:imagedata o:title=""/>
              <o:lock v:ext="edit" aspectratio="f"/>
              <v:textbox inset="0mm,0mm,0mm,0mm">
                <w:txbxContent>
                  <w:p w14:paraId="4D970EAB">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val="en-US"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8513E"/>
    <w:rsid w:val="02E8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120" w:after="120" w:line="360" w:lineRule="auto"/>
      <w:ind w:firstLine="200" w:firstLineChars="200"/>
      <w:jc w:val="left"/>
    </w:pPr>
    <w:rPr>
      <w:rFonts w:ascii="Calibri" w:hAnsi="Times New Roman" w:eastAsia="Calibri" w:cs="Times New Roman"/>
      <w:b/>
      <w:bCs/>
      <w:caps/>
      <w:sz w:val="20"/>
      <w:szCs w:val="20"/>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2025-02-27T07:03:00Z</dcterms:created>
  <dc:creator>行之</dc:creator>
  <cp:lastModifiedBy>行之</cp:lastModifiedBy>
  <dcterms:modified xsi:type="dcterms:W3CDTF">2025-02-27T07:03:54Z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C571B6C17FD24D78BE43DAFD7F78475D_11</vt:lpwstr>
  </property>
  <property fmtid="{D5CDD505-2E9C-101B-9397-08002B2CF9AE}" pid="4" name="KSOTemplateDocerSaveRecord">
    <vt:lpwstr>eyJoZGlkIjoiODA0NTQxM2UyMWMyOTQyMjljNWUyMWM2MGY0MTUxNTAiLCJ1c2VySWQiOiIzNTA3MzY2MTIifQ==</vt:lpwstr>
  </property>
</Properties>
</file>