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文件解读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发挥医保智能监控系统作用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提升医保基金监管效能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目标要求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《中共中央国务院关于深化医疗保障制度改革的意见》指出，建立监督检查常态机制，实施大数据实时动态智能监控。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《山东省人民政府办公厅关于印发贯彻落实〈国务院办公厅关于推进医疗保障基金监管制度体系改革的指导意见〉任务分工方案的通知》（鲁政办发〔2021〕15号）要求，全面建立智能监控制度，统一全省基本医保药品、诊疗项目、医疗服务设施目录；建设全省统一的定点医药机构医保智能监控系统，建成省市两级监控平台，加强对医保定点医药机构价格收费、药品耗材购销存、医疗服务行为、处方流转和异地就医联网结算等实时监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背景</w:t>
      </w:r>
      <w:r>
        <w:rPr>
          <w:rFonts w:hint="eastAsia" w:ascii="黑体" w:hAnsi="黑体" w:eastAsia="黑体"/>
          <w:sz w:val="32"/>
          <w:szCs w:val="32"/>
        </w:rPr>
        <w:t>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自2020年开始，我省按照“六统一”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推进医保智能监控系统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建设。目前，全省统一的医保智能监控系统已在16市上线运行，实现了与二级以上的医保定点医疗机构HIS系统的对接，全面开展医保基金的事前事中事后全流程审核，监管效能得到大幅提高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随着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医保</w:t>
      </w:r>
      <w:r>
        <w:rPr>
          <w:rFonts w:ascii="仿宋_GB2312" w:hAnsi="仿宋_GB2312" w:eastAsia="仿宋_GB2312" w:cs="仿宋_GB2312"/>
          <w:sz w:val="32"/>
          <w:szCs w:val="32"/>
        </w:rPr>
        <w:t>智能监控系统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延伸应用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作为医保智能监管核心的“知识库、规则库”，存在更新调整不及时、调整流程不完善和业务管理职责不明确等问题。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去年底，省医保局开始着手起草推进医保智能监控系统应用的文件。今年，国家医疗保障局印发《医疗保障基金智能审核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监控知识库、规则库管理办法（试行）》（医保发〔2022〕12号），从医保智能监控系统的知识库、规则库建设调整的程序时限、职责分工以及医保智能监控系统的应用主体、处理程序等方面作出了全面规定，提出了以知识库、规则库为依托，对各类监管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象在各种场景下使用医疗保障基金的情形进行全流程监控的目标。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省医保局在广泛调研、征求意见的基础上，经局长办公会审议通过了《关于贯彻落实医保发〔2022〕12号文件加快医保智能监控系统应用工作的通知》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（鲁医保发〔2022〕19号）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全文分为四个部分。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第一部分</w:t>
      </w:r>
      <w:r>
        <w:rPr>
          <w:rFonts w:hint="eastAsia" w:ascii="仿宋" w:hAnsi="仿宋" w:eastAsia="仿宋" w:cs="黑体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强调了医保智能监管系统推广应用工作的重要性，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加快向基层医疗机构延伸对接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，充分发挥智能监管系统作用，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提高监管效能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第二部分</w:t>
      </w:r>
      <w:r>
        <w:rPr>
          <w:rFonts w:hint="eastAsia" w:ascii="仿宋" w:hAnsi="仿宋" w:eastAsia="仿宋" w:cs="黑体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明确</w:t>
      </w:r>
      <w:r>
        <w:rPr>
          <w:rFonts w:ascii="仿宋" w:hAnsi="仿宋" w:eastAsia="仿宋" w:cs="仿宋_GB2312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“两库”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内涵、审核调整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机制和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省市联动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机制。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建设</w:t>
      </w:r>
      <w:r>
        <w:rPr>
          <w:rFonts w:ascii="仿宋" w:hAnsi="仿宋" w:eastAsia="仿宋" w:cs="黑体"/>
          <w:sz w:val="32"/>
          <w:szCs w:val="32"/>
        </w:rPr>
        <w:t>省、市两级</w:t>
      </w:r>
      <w:r>
        <w:rPr>
          <w:rFonts w:hint="eastAsia" w:ascii="仿宋" w:hAnsi="仿宋" w:eastAsia="仿宋" w:cs="黑体"/>
          <w:sz w:val="32"/>
          <w:szCs w:val="32"/>
        </w:rPr>
        <w:t>知识库、规则库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“两库”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审核委员会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负责制定“两库”调整方案、</w:t>
      </w:r>
      <w:r>
        <w:rPr>
          <w:rFonts w:ascii="仿宋_GB2312" w:hAnsi="仿宋_GB2312" w:eastAsia="仿宋_GB2312" w:cs="仿宋_GB231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“两库”内容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，报局长办公会审议通过后嵌入智能监控系统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明确职责分工，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知识库由医保</w:t>
      </w:r>
      <w:r>
        <w:rPr>
          <w:rFonts w:hint="eastAsia" w:ascii="仿宋_GB2312" w:hAnsi="仿宋_GB2312" w:eastAsia="仿宋_GB2312" w:cs="仿宋_GB2312"/>
          <w:sz w:val="32"/>
          <w:szCs w:val="32"/>
        </w:rPr>
        <w:t>经办</w:t>
      </w:r>
      <w:r>
        <w:rPr>
          <w:rFonts w:hint="eastAsia" w:ascii="仿宋_GB2312" w:hAnsi="仿宋" w:eastAsia="仿宋_GB2312"/>
          <w:sz w:val="32"/>
          <w:szCs w:val="32"/>
        </w:rPr>
        <w:t>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根据医保待遇、招采等政策，以及药品、项目和设施“三目录”等规定变动情况，及时提出更新意见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；规则库由基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金监管行政部门牵头，根据政策法规和年度监管重点等要求，汇集各行政处室、医保经办、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稽核机构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对规则调整意见，定期进行调整，原则上每年调整至少一次。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强化省市联动。</w:t>
      </w:r>
      <w:r>
        <w:rPr>
          <w:rFonts w:hint="eastAsia" w:ascii="仿宋_GB2312" w:hAnsi="等线" w:eastAsia="仿宋_GB2312"/>
          <w:sz w:val="32"/>
          <w:szCs w:val="32"/>
        </w:rPr>
        <w:t>省局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" w:eastAsia="仿宋_GB2312"/>
          <w:sz w:val="32"/>
          <w:szCs w:val="32"/>
        </w:rPr>
        <w:t>调整优化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知识库、规则库</w:t>
      </w:r>
      <w:r>
        <w:rPr>
          <w:rFonts w:hint="eastAsia" w:ascii="仿宋_GB2312" w:hAnsi="等线" w:eastAsia="仿宋_GB2312"/>
          <w:sz w:val="32"/>
          <w:szCs w:val="32"/>
        </w:rPr>
        <w:t>下发各市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同步执行</w:t>
      </w:r>
      <w:r>
        <w:rPr>
          <w:rFonts w:hint="eastAsia" w:ascii="仿宋_GB2312" w:hAnsi="等线" w:eastAsia="仿宋_GB2312"/>
          <w:sz w:val="32"/>
          <w:szCs w:val="32"/>
        </w:rPr>
        <w:t>。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等线" w:eastAsia="仿宋_GB2312"/>
          <w:sz w:val="32"/>
          <w:szCs w:val="32"/>
        </w:rPr>
        <w:t>各市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制订的</w:t>
      </w:r>
      <w:r>
        <w:rPr>
          <w:rFonts w:hint="eastAsia" w:ascii="仿宋_GB2312" w:hAnsi="等线" w:eastAsia="仿宋_GB2312"/>
          <w:sz w:val="32"/>
          <w:szCs w:val="32"/>
        </w:rPr>
        <w:t>监控规则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，经</w:t>
      </w:r>
      <w:r>
        <w:rPr>
          <w:rFonts w:hint="eastAsia" w:ascii="仿宋_GB2312" w:hAnsi="等线" w:eastAsia="仿宋_GB2312"/>
          <w:sz w:val="32"/>
          <w:szCs w:val="32"/>
        </w:rPr>
        <w:t>省局审核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认为符合全省监控需要的，</w:t>
      </w:r>
      <w:r>
        <w:rPr>
          <w:rFonts w:hint="eastAsia" w:ascii="仿宋_GB2312" w:hAnsi="等线" w:eastAsia="仿宋_GB2312"/>
          <w:sz w:val="32"/>
          <w:szCs w:val="32"/>
        </w:rPr>
        <w:t>纳入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全省</w:t>
      </w:r>
      <w:r>
        <w:rPr>
          <w:rFonts w:hint="eastAsia" w:ascii="仿宋_GB2312" w:hAnsi="等线" w:eastAsia="仿宋_GB2312"/>
          <w:sz w:val="32"/>
          <w:szCs w:val="32"/>
        </w:rPr>
        <w:t>规则库，实现全省联动共享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等线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b/>
          <w:bCs/>
          <w:sz w:val="32"/>
          <w:szCs w:val="32"/>
          <w:lang w:eastAsia="zh-CN"/>
        </w:rPr>
        <w:t>第三部分，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明确了定点医疗机构、医保经办机构、稽核机构和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监管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，以及各业</w:t>
      </w:r>
      <w:bookmarkStart w:id="0" w:name="_GoBack"/>
      <w:bookmarkEnd w:id="0"/>
      <w:r>
        <w:rPr>
          <w:rFonts w:hint="eastAsia" w:ascii="仿宋_GB2312" w:hAnsi="等线" w:eastAsia="仿宋_GB2312"/>
          <w:sz w:val="32"/>
          <w:szCs w:val="32"/>
          <w:lang w:eastAsia="zh-CN"/>
        </w:rPr>
        <w:t>务处室使用医保智能监控系统的职责分工。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以“两库”为依托，以结算审核支付为中心节点，推动由人工抽单审核向医保智能审核监控转变，实现院端实时提醒、经办全面审核、精准监管稽核，强化对定点医药机构临床诊疗行为和药品医用耗材销售行为的提醒、引导和规范</w:t>
      </w:r>
      <w:r>
        <w:rPr>
          <w:rFonts w:hint="eastAsia" w:ascii="仿宋_GB2312" w:hAnsi="等线" w:eastAsia="仿宋_GB2312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等线" w:eastAsia="仿宋_GB2312"/>
          <w:sz w:val="32"/>
          <w:szCs w:val="32"/>
          <w:lang w:eastAsia="zh-CN"/>
        </w:rPr>
      </w:pPr>
      <w:r>
        <w:rPr>
          <w:rFonts w:hint="eastAsia" w:ascii="仿宋_GB2312" w:hAnsi="等线" w:eastAsia="仿宋_GB2312"/>
          <w:b/>
          <w:bCs/>
          <w:sz w:val="32"/>
          <w:szCs w:val="32"/>
          <w:lang w:eastAsia="zh-CN"/>
        </w:rPr>
        <w:t>第四部分，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从加强组织领导、强化部门协同、确保数据安全等三个方面对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医保智能监控系统应用工作提出了要求。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《通知》下发各地执行后，将进一步落实各地医保智能监控工作职责，完善知识库、规则库定期调整机制，促进智能监控全流程应用，进一步提高基金监管效能。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y1u5d9AAAAACAQAADwAAAAAAAAABACAAAAA4AAAAZHJzL2Rvd25yZXYueG1s&#10;UEsBAhQAFAAAAAgAh07iQN1y9ObqAQAAzQMAAA4AAAAAAAAAAQAgAAAANQ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LW7l30AAAAAIBAAAPAAAAAAAAAAEAIAAAADgAAABkcnMvZG93bnJldi54bWxQ&#10;SwECFAAUAAAACACHTuJAR9yDeOkBAADNAwAADgAAAAAAAAABACAAAAA1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MmJiZDA4ZjI5ZjUyOGJkZjJlMDM0MjAxZDA0ZWIifQ=="/>
  </w:docVars>
  <w:rsids>
    <w:rsidRoot w:val="00C310A1"/>
    <w:rsid w:val="000103AE"/>
    <w:rsid w:val="000B4CD1"/>
    <w:rsid w:val="000C465D"/>
    <w:rsid w:val="00123B51"/>
    <w:rsid w:val="00157028"/>
    <w:rsid w:val="001641DD"/>
    <w:rsid w:val="001F20FC"/>
    <w:rsid w:val="001F53A2"/>
    <w:rsid w:val="00261768"/>
    <w:rsid w:val="00276D88"/>
    <w:rsid w:val="002E3B41"/>
    <w:rsid w:val="00352137"/>
    <w:rsid w:val="003532AD"/>
    <w:rsid w:val="003570C8"/>
    <w:rsid w:val="00357BB7"/>
    <w:rsid w:val="004512A6"/>
    <w:rsid w:val="00451F85"/>
    <w:rsid w:val="0045299B"/>
    <w:rsid w:val="00464336"/>
    <w:rsid w:val="00474113"/>
    <w:rsid w:val="004907FA"/>
    <w:rsid w:val="004934A5"/>
    <w:rsid w:val="004C065F"/>
    <w:rsid w:val="005129CD"/>
    <w:rsid w:val="005B5A12"/>
    <w:rsid w:val="005E6ACD"/>
    <w:rsid w:val="006111E2"/>
    <w:rsid w:val="006426A5"/>
    <w:rsid w:val="006A4D6E"/>
    <w:rsid w:val="006F03D3"/>
    <w:rsid w:val="00724CDA"/>
    <w:rsid w:val="00727BDC"/>
    <w:rsid w:val="00757454"/>
    <w:rsid w:val="007F02FE"/>
    <w:rsid w:val="0081737C"/>
    <w:rsid w:val="00824F28"/>
    <w:rsid w:val="00860F12"/>
    <w:rsid w:val="008A0CA8"/>
    <w:rsid w:val="008B29A9"/>
    <w:rsid w:val="008B6EB9"/>
    <w:rsid w:val="008B7787"/>
    <w:rsid w:val="008C3005"/>
    <w:rsid w:val="008C6336"/>
    <w:rsid w:val="008E4F79"/>
    <w:rsid w:val="00950003"/>
    <w:rsid w:val="009F377E"/>
    <w:rsid w:val="00A42345"/>
    <w:rsid w:val="00A461EF"/>
    <w:rsid w:val="00A57CEA"/>
    <w:rsid w:val="00A644B9"/>
    <w:rsid w:val="00A77909"/>
    <w:rsid w:val="00AB073A"/>
    <w:rsid w:val="00AC04EF"/>
    <w:rsid w:val="00AE5C1A"/>
    <w:rsid w:val="00B01235"/>
    <w:rsid w:val="00B11D1B"/>
    <w:rsid w:val="00B1288E"/>
    <w:rsid w:val="00B356EB"/>
    <w:rsid w:val="00BB6D43"/>
    <w:rsid w:val="00C24BBE"/>
    <w:rsid w:val="00C310A1"/>
    <w:rsid w:val="00C4344C"/>
    <w:rsid w:val="00CC6EA7"/>
    <w:rsid w:val="00D55383"/>
    <w:rsid w:val="00D55BE1"/>
    <w:rsid w:val="00DA43B9"/>
    <w:rsid w:val="00DC1BCF"/>
    <w:rsid w:val="00DD279E"/>
    <w:rsid w:val="00E0443C"/>
    <w:rsid w:val="00E10EEF"/>
    <w:rsid w:val="00E6787E"/>
    <w:rsid w:val="00E87DA1"/>
    <w:rsid w:val="00EC739F"/>
    <w:rsid w:val="00F36B87"/>
    <w:rsid w:val="00F55EAE"/>
    <w:rsid w:val="00FB40C5"/>
    <w:rsid w:val="0176CF55"/>
    <w:rsid w:val="02CB1881"/>
    <w:rsid w:val="04123214"/>
    <w:rsid w:val="05B01D4C"/>
    <w:rsid w:val="06F15928"/>
    <w:rsid w:val="07FF55D2"/>
    <w:rsid w:val="08F63BEC"/>
    <w:rsid w:val="0BA15BDD"/>
    <w:rsid w:val="0D651340"/>
    <w:rsid w:val="16665278"/>
    <w:rsid w:val="18C04D25"/>
    <w:rsid w:val="1CC77B4C"/>
    <w:rsid w:val="220743AE"/>
    <w:rsid w:val="24FE2BB5"/>
    <w:rsid w:val="27310528"/>
    <w:rsid w:val="280774EA"/>
    <w:rsid w:val="29E306A9"/>
    <w:rsid w:val="2BAB7D32"/>
    <w:rsid w:val="3F4A48E6"/>
    <w:rsid w:val="3FA9644C"/>
    <w:rsid w:val="41FE35CF"/>
    <w:rsid w:val="42053DB6"/>
    <w:rsid w:val="433E54F9"/>
    <w:rsid w:val="4A5FC7F8"/>
    <w:rsid w:val="4B10190A"/>
    <w:rsid w:val="51D60C5B"/>
    <w:rsid w:val="5575F3F0"/>
    <w:rsid w:val="575CBB26"/>
    <w:rsid w:val="5F543E6A"/>
    <w:rsid w:val="6336136A"/>
    <w:rsid w:val="6CD76C28"/>
    <w:rsid w:val="73BD9471"/>
    <w:rsid w:val="775BF9E7"/>
    <w:rsid w:val="77F8CC0A"/>
    <w:rsid w:val="7BFE9A52"/>
    <w:rsid w:val="7CD52EEE"/>
    <w:rsid w:val="7E833F49"/>
    <w:rsid w:val="7FFF8EB1"/>
    <w:rsid w:val="7FFFFF54"/>
    <w:rsid w:val="9D4B5CFF"/>
    <w:rsid w:val="A7EF3A72"/>
    <w:rsid w:val="BA7B23C6"/>
    <w:rsid w:val="BDFD7386"/>
    <w:rsid w:val="DEB3B2D2"/>
    <w:rsid w:val="EFBBA72F"/>
    <w:rsid w:val="FD9FC610"/>
    <w:rsid w:val="FDF8EC58"/>
    <w:rsid w:val="FE734873"/>
    <w:rsid w:val="FE7C91AE"/>
    <w:rsid w:val="FEFFB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canrea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1725</Words>
  <Characters>1759</Characters>
  <Lines>12</Lines>
  <Paragraphs>3</Paragraphs>
  <TotalTime>4</TotalTime>
  <ScaleCrop>false</ScaleCrop>
  <LinksUpToDate>false</LinksUpToDate>
  <CharactersWithSpaces>1821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2022-03-24T09:19:00Z</dcterms:created>
  <dc:creator>系统管理员</dc:creator>
  <cp:lastModifiedBy>user</cp:lastModifiedBy>
  <cp:lastPrinted>2022-06-23T10:02:00Z</cp:lastPrinted>
  <dcterms:modified xsi:type="dcterms:W3CDTF">2022-06-30T08:51:31Z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EF84054B1B9C4F9A990951A6A012C162</vt:lpwstr>
  </property>
</Properties>
</file>