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A9F4D"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CA9323C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第六批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医疗服务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价格规范治理项目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价格表</w:t>
      </w:r>
    </w:p>
    <w:bookmarkEnd w:id="0"/>
    <w:tbl>
      <w:tblPr>
        <w:tblStyle w:val="6"/>
        <w:tblpPr w:leftFromText="180" w:rightFromText="180" w:vertAnchor="text" w:horzAnchor="page" w:tblpX="1367" w:tblpY="144"/>
        <w:tblOverlap w:val="never"/>
        <w:tblW w:w="14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137"/>
        <w:gridCol w:w="3337"/>
        <w:gridCol w:w="1954"/>
        <w:gridCol w:w="703"/>
        <w:gridCol w:w="936"/>
        <w:gridCol w:w="4189"/>
      </w:tblGrid>
      <w:tr w14:paraId="32F5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32" w:type="dxa"/>
            <w:vAlign w:val="center"/>
          </w:tcPr>
          <w:p w14:paraId="5742F171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2178" w:type="dxa"/>
            <w:vAlign w:val="center"/>
          </w:tcPr>
          <w:p w14:paraId="38EDCAF3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1B20EB88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1985" w:type="dxa"/>
            <w:vAlign w:val="center"/>
          </w:tcPr>
          <w:p w14:paraId="5EE912FE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709" w:type="dxa"/>
            <w:vAlign w:val="center"/>
          </w:tcPr>
          <w:p w14:paraId="79ED241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计价</w:t>
            </w:r>
          </w:p>
          <w:p w14:paraId="2B95C00D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8" w:type="dxa"/>
            <w:vAlign w:val="center"/>
          </w:tcPr>
          <w:p w14:paraId="08599A1F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5F890C16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72" w:type="dxa"/>
            <w:vAlign w:val="center"/>
          </w:tcPr>
          <w:p w14:paraId="3D798556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3C0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31F5ACCA">
            <w:pPr>
              <w:pStyle w:val="4"/>
              <w:widowControl/>
              <w:spacing w:beforeAutospacing="0" w:afterAutospacing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250403083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5AE5DEC">
            <w:pPr>
              <w:widowControl/>
              <w:tabs>
                <w:tab w:val="left" w:pos="577"/>
              </w:tabs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结核分枝杆菌菌种鉴定检测</w:t>
            </w:r>
          </w:p>
        </w:tc>
        <w:tc>
          <w:tcPr>
            <w:tcW w:w="3402" w:type="dxa"/>
            <w:vAlign w:val="center"/>
          </w:tcPr>
          <w:p w14:paraId="0BCEDEAE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14BF0286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A3B63D0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08" w:type="dxa"/>
            <w:vAlign w:val="center"/>
          </w:tcPr>
          <w:p w14:paraId="293C1B31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272" w:type="dxa"/>
            <w:vAlign w:val="center"/>
          </w:tcPr>
          <w:p w14:paraId="51ABE8FE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修改项目名称</w:t>
            </w:r>
          </w:p>
        </w:tc>
      </w:tr>
      <w:tr w14:paraId="2D9F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0E3B4803">
            <w:pPr>
              <w:pStyle w:val="4"/>
              <w:widowControl/>
              <w:spacing w:beforeAutospacing="0" w:afterAutospacing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250403084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0262A9B">
            <w:pPr>
              <w:widowControl/>
              <w:tabs>
                <w:tab w:val="left" w:pos="577"/>
              </w:tabs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耐药结核分枝杆菌检测</w:t>
            </w:r>
          </w:p>
        </w:tc>
        <w:tc>
          <w:tcPr>
            <w:tcW w:w="3402" w:type="dxa"/>
            <w:vAlign w:val="center"/>
          </w:tcPr>
          <w:p w14:paraId="3D75D400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109013A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37D4FB2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708" w:type="dxa"/>
            <w:vAlign w:val="center"/>
          </w:tcPr>
          <w:p w14:paraId="44D23B85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  <w:p w14:paraId="4D38BD17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定价</w:t>
            </w:r>
          </w:p>
        </w:tc>
        <w:tc>
          <w:tcPr>
            <w:tcW w:w="4272" w:type="dxa"/>
            <w:vAlign w:val="center"/>
          </w:tcPr>
          <w:p w14:paraId="58EB7CE2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</w:t>
            </w:r>
          </w:p>
        </w:tc>
      </w:tr>
      <w:tr w14:paraId="0C44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248BBEBC">
            <w:pPr>
              <w:pStyle w:val="4"/>
              <w:widowControl/>
              <w:spacing w:beforeAutospacing="0" w:afterAutospacing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250403091</w:t>
            </w:r>
          </w:p>
        </w:tc>
        <w:tc>
          <w:tcPr>
            <w:tcW w:w="2178" w:type="dxa"/>
            <w:vAlign w:val="center"/>
          </w:tcPr>
          <w:p w14:paraId="4CED399A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结核分枝杆菌复合群核酸快速检测</w:t>
            </w:r>
          </w:p>
        </w:tc>
        <w:tc>
          <w:tcPr>
            <w:tcW w:w="3402" w:type="dxa"/>
            <w:vAlign w:val="center"/>
          </w:tcPr>
          <w:p w14:paraId="0905B3F2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样本类型：体液。样本采集，5分钟快速核酸提取，闭管上机，40分钟双靶标基因快速扩增。审核结果</w:t>
            </w:r>
          </w:p>
        </w:tc>
        <w:tc>
          <w:tcPr>
            <w:tcW w:w="1985" w:type="dxa"/>
            <w:vAlign w:val="center"/>
          </w:tcPr>
          <w:p w14:paraId="4003CA9A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AB4F9B9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08" w:type="dxa"/>
            <w:vAlign w:val="center"/>
          </w:tcPr>
          <w:p w14:paraId="410C0554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72" w:type="dxa"/>
            <w:vAlign w:val="center"/>
          </w:tcPr>
          <w:p w14:paraId="20A88234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1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463D23F9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250502011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682D543">
            <w:pPr>
              <w:widowControl/>
              <w:tabs>
                <w:tab w:val="left" w:pos="577"/>
              </w:tabs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结核分枝杆菌耐药基因检测</w:t>
            </w:r>
          </w:p>
        </w:tc>
        <w:tc>
          <w:tcPr>
            <w:tcW w:w="3402" w:type="dxa"/>
            <w:vAlign w:val="center"/>
          </w:tcPr>
          <w:p w14:paraId="256A2E03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5E48EF60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CD8DFD8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08" w:type="dxa"/>
            <w:vAlign w:val="center"/>
          </w:tcPr>
          <w:p w14:paraId="45C361A5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272" w:type="dxa"/>
            <w:vAlign w:val="center"/>
          </w:tcPr>
          <w:p w14:paraId="2EA2D60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删除原项目内涵“含利福平耐药检测”，计价单位由“次”改为“项”</w:t>
            </w:r>
          </w:p>
        </w:tc>
      </w:tr>
      <w:tr w14:paraId="283F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 w14:paraId="7AEE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310205008</w:t>
            </w:r>
          </w:p>
        </w:tc>
        <w:tc>
          <w:tcPr>
            <w:tcW w:w="2178" w:type="dxa"/>
            <w:vAlign w:val="center"/>
          </w:tcPr>
          <w:p w14:paraId="78DA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电脑血糖监测</w:t>
            </w:r>
          </w:p>
        </w:tc>
        <w:tc>
          <w:tcPr>
            <w:tcW w:w="3402" w:type="dxa"/>
            <w:vAlign w:val="center"/>
          </w:tcPr>
          <w:p w14:paraId="167F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D73DC7D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探头（传感器）</w:t>
            </w:r>
          </w:p>
        </w:tc>
        <w:tc>
          <w:tcPr>
            <w:tcW w:w="709" w:type="dxa"/>
            <w:vAlign w:val="center"/>
          </w:tcPr>
          <w:p w14:paraId="3E0B16E9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708" w:type="dxa"/>
            <w:vAlign w:val="center"/>
          </w:tcPr>
          <w:p w14:paraId="21F475D5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72" w:type="dxa"/>
            <w:vAlign w:val="center"/>
          </w:tcPr>
          <w:p w14:paraId="457DCEE9">
            <w:pPr>
              <w:pStyle w:val="4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删除原项目内涵“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含床旁血糖监测、探头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”，除外内容增加“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探头（传感器）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5E3F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32" w:type="dxa"/>
            <w:vAlign w:val="center"/>
          </w:tcPr>
          <w:p w14:paraId="1EF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310205009</w:t>
            </w:r>
          </w:p>
        </w:tc>
        <w:tc>
          <w:tcPr>
            <w:tcW w:w="2178" w:type="dxa"/>
            <w:vAlign w:val="center"/>
          </w:tcPr>
          <w:p w14:paraId="60E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连续动态血糖监测</w:t>
            </w:r>
          </w:p>
        </w:tc>
        <w:tc>
          <w:tcPr>
            <w:tcW w:w="3402" w:type="dxa"/>
            <w:vAlign w:val="center"/>
          </w:tcPr>
          <w:p w14:paraId="53F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指持续监测72个小时，每24小时测定不少于288个血糖值</w:t>
            </w:r>
          </w:p>
        </w:tc>
        <w:tc>
          <w:tcPr>
            <w:tcW w:w="1985" w:type="dxa"/>
            <w:vAlign w:val="center"/>
          </w:tcPr>
          <w:p w14:paraId="786A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探头（传感器）</w:t>
            </w:r>
          </w:p>
        </w:tc>
        <w:tc>
          <w:tcPr>
            <w:tcW w:w="709" w:type="dxa"/>
            <w:vAlign w:val="center"/>
          </w:tcPr>
          <w:p w14:paraId="24DF35A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708" w:type="dxa"/>
            <w:vAlign w:val="center"/>
          </w:tcPr>
          <w:p w14:paraId="61FE75C5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72" w:type="dxa"/>
            <w:vAlign w:val="center"/>
          </w:tcPr>
          <w:p w14:paraId="4C61A251">
            <w:pPr>
              <w:pStyle w:val="4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8E5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7DA84F-C7D0-45B9-A5DC-4C235D4368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85F7D9-D1BE-493F-89F2-1A1850B95B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F1A71F-8A3C-4147-AEDD-9F1E24C7D090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4" w:fontKey="{08CF4643-473D-49AF-AF16-17CD8754A7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15850"/>
    <w:rsid w:val="411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2025-10-15T01:38:00Z</dcterms:created>
  <dc:creator>十二喵</dc:creator>
  <cp:lastModifiedBy>十二喵</cp:lastModifiedBy>
  <dcterms:modified xsi:type="dcterms:W3CDTF">2025-10-15T01:40:57Z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8643C65B917A444D824E21D27DD2549A_11</vt:lpwstr>
  </property>
</Properties>
</file>