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方正小标宋简体" w:hAnsi="仿宋" w:eastAsia="方正小标宋简体" w:cs="方正小标宋_GBK"/>
          <w:kern w:val="0"/>
          <w:sz w:val="44"/>
          <w:szCs w:val="44"/>
          <w:highlight w:val="none"/>
        </w:rPr>
      </w:pPr>
      <w:bookmarkStart w:id="0" w:name="_GoBack"/>
      <w:bookmarkEnd w:id="0"/>
    </w:p>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方正小标宋简体" w:hAnsi="仿宋" w:eastAsia="方正小标宋简体" w:cs="方正小标宋_GBK"/>
          <w:kern w:val="0"/>
          <w:sz w:val="44"/>
          <w:szCs w:val="44"/>
          <w:highlight w:val="none"/>
        </w:rPr>
      </w:pPr>
      <w:r>
        <w:rPr>
          <w:rFonts w:hint="eastAsia" w:ascii="方正小标宋简体" w:hAnsi="仿宋" w:eastAsia="方正小标宋简体" w:cs="方正小标宋_GBK"/>
          <w:kern w:val="0"/>
          <w:sz w:val="44"/>
          <w:szCs w:val="44"/>
          <w:highlight w:val="none"/>
        </w:rPr>
        <w:t>山东省定点医药机构医保信用</w:t>
      </w:r>
    </w:p>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方正小标宋简体" w:hAnsi="仿宋" w:eastAsia="方正小标宋简体" w:cs="方正小标宋_GBK"/>
          <w:kern w:val="0"/>
          <w:sz w:val="44"/>
          <w:szCs w:val="44"/>
          <w:highlight w:val="none"/>
          <w:lang w:eastAsia="zh-CN"/>
        </w:rPr>
      </w:pPr>
      <w:r>
        <w:rPr>
          <w:rFonts w:hint="default" w:ascii="方正小标宋简体" w:hAnsi="仿宋" w:eastAsia="方正小标宋简体" w:cs="方正小标宋_GBK"/>
          <w:kern w:val="0"/>
          <w:sz w:val="44"/>
          <w:szCs w:val="44"/>
          <w:highlight w:val="none"/>
          <w:lang w:val="en-US" w:eastAsia="zh-CN"/>
        </w:rPr>
        <w:t>评价</w:t>
      </w:r>
      <w:r>
        <w:rPr>
          <w:rFonts w:hint="eastAsia" w:ascii="方正小标宋简体" w:hAnsi="仿宋" w:eastAsia="方正小标宋简体" w:cs="方正小标宋_GBK"/>
          <w:kern w:val="0"/>
          <w:sz w:val="44"/>
          <w:szCs w:val="44"/>
          <w:highlight w:val="none"/>
        </w:rPr>
        <w:t>办法</w:t>
      </w:r>
      <w:r>
        <w:rPr>
          <w:rFonts w:hint="eastAsia" w:ascii="方正小标宋简体" w:hAnsi="仿宋" w:eastAsia="方正小标宋简体" w:cs="方正小标宋_GBK"/>
          <w:kern w:val="0"/>
          <w:sz w:val="44"/>
          <w:szCs w:val="44"/>
          <w:highlight w:val="none"/>
          <w:lang w:eastAsia="zh-CN"/>
        </w:rPr>
        <w:t>（</w:t>
      </w:r>
      <w:r>
        <w:rPr>
          <w:rFonts w:hint="eastAsia" w:ascii="方正小标宋简体" w:hAnsi="仿宋" w:eastAsia="方正小标宋简体" w:cs="方正小标宋_GBK"/>
          <w:kern w:val="0"/>
          <w:sz w:val="44"/>
          <w:szCs w:val="44"/>
          <w:highlight w:val="none"/>
        </w:rPr>
        <w:t>试行</w:t>
      </w:r>
      <w:r>
        <w:rPr>
          <w:rFonts w:hint="eastAsia" w:ascii="方正小标宋简体" w:hAnsi="仿宋" w:eastAsia="方正小标宋简体" w:cs="方正小标宋_GBK"/>
          <w:kern w:val="0"/>
          <w:sz w:val="44"/>
          <w:szCs w:val="44"/>
          <w:highlight w:val="none"/>
          <w:lang w:eastAsia="zh-CN"/>
        </w:rPr>
        <w:t>）</w:t>
      </w:r>
    </w:p>
    <w:p>
      <w:pPr>
        <w:pStyle w:val="2"/>
        <w:jc w:val="center"/>
        <w:rPr>
          <w:rFonts w:hint="eastAsia" w:ascii="楷体" w:hAnsi="楷体" w:eastAsia="楷体" w:cs="楷体"/>
          <w:sz w:val="32"/>
          <w:szCs w:val="32"/>
          <w:lang w:eastAsia="zh-CN"/>
        </w:rPr>
      </w:pPr>
      <w:r>
        <w:rPr>
          <w:rFonts w:hint="eastAsia" w:ascii="楷体" w:hAnsi="楷体" w:eastAsia="楷体" w:cs="楷体"/>
          <w:kern w:val="0"/>
          <w:sz w:val="32"/>
          <w:szCs w:val="32"/>
          <w:highlight w:val="none"/>
          <w:lang w:eastAsia="zh-CN"/>
        </w:rPr>
        <w:t>（征求意见稿）</w:t>
      </w:r>
    </w:p>
    <w:p>
      <w:pPr>
        <w:keepNext w:val="0"/>
        <w:keepLines w:val="0"/>
        <w:pageBreakBefore w:val="0"/>
        <w:widowControl/>
        <w:kinsoku/>
        <w:wordWrap/>
        <w:overflowPunct/>
        <w:topLinePunct w:val="0"/>
        <w:autoSpaceDE/>
        <w:autoSpaceDN/>
        <w:bidi w:val="0"/>
        <w:adjustRightInd/>
        <w:snapToGrid/>
        <w:spacing w:line="600" w:lineRule="exact"/>
        <w:rPr>
          <w:rFonts w:ascii="仿宋" w:hAnsi="仿宋" w:eastAsia="仿宋" w:cs="黑体"/>
          <w:kern w:val="0"/>
          <w:sz w:val="32"/>
          <w:szCs w:val="32"/>
          <w:highlight w:val="none"/>
        </w:rPr>
      </w:pPr>
      <w:r>
        <w:rPr>
          <w:rFonts w:hint="eastAsia" w:ascii="仿宋" w:hAnsi="仿宋" w:eastAsia="仿宋"/>
          <w:kern w:val="0"/>
          <w:sz w:val="32"/>
          <w:szCs w:val="32"/>
          <w:highlight w:val="none"/>
        </w:rPr>
        <w:t>　</w:t>
      </w:r>
      <w:r>
        <w:rPr>
          <w:rFonts w:hint="eastAsia" w:ascii="仿宋" w:hAnsi="仿宋" w:eastAsia="仿宋" w:cs="黑体"/>
          <w:kern w:val="0"/>
          <w:sz w:val="32"/>
          <w:szCs w:val="32"/>
          <w:highlight w:val="none"/>
        </w:rPr>
        <w:t>　</w:t>
      </w:r>
    </w:p>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黑体" w:hAnsi="黑体" w:eastAsia="黑体"/>
          <w:kern w:val="0"/>
          <w:sz w:val="32"/>
          <w:szCs w:val="32"/>
          <w:highlight w:val="none"/>
        </w:rPr>
      </w:pPr>
      <w:r>
        <w:rPr>
          <w:rFonts w:hint="eastAsia" w:ascii="黑体" w:hAnsi="黑体" w:eastAsia="黑体" w:cs="黑体"/>
          <w:kern w:val="0"/>
          <w:sz w:val="32"/>
          <w:szCs w:val="32"/>
          <w:highlight w:val="none"/>
        </w:rPr>
        <w:t>第一章　总</w:t>
      </w:r>
      <w:r>
        <w:rPr>
          <w:rFonts w:ascii="Calibri" w:hAnsi="Calibri" w:eastAsia="黑体" w:cs="Calibri"/>
          <w:kern w:val="0"/>
          <w:sz w:val="32"/>
          <w:szCs w:val="32"/>
          <w:highlight w:val="none"/>
        </w:rPr>
        <w:t> </w:t>
      </w:r>
      <w:r>
        <w:rPr>
          <w:rFonts w:hint="eastAsia" w:ascii="黑体" w:hAnsi="黑体" w:eastAsia="黑体" w:cs="黑体"/>
          <w:kern w:val="0"/>
          <w:sz w:val="32"/>
          <w:szCs w:val="32"/>
          <w:highlight w:val="none"/>
        </w:rPr>
        <w:t>则</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楷体_GB2312" w:hAnsi="仿宋_GB2312" w:eastAsia="楷体_GB2312" w:cs="Times New Roman"/>
          <w:b/>
          <w:sz w:val="32"/>
          <w:szCs w:val="32"/>
          <w:highlight w:val="none"/>
        </w:rPr>
      </w:pP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bidi="ar"/>
        </w:rPr>
      </w:pPr>
      <w:r>
        <w:rPr>
          <w:rFonts w:hint="eastAsia" w:ascii="楷体_GB2312" w:hAnsi="仿宋_GB2312" w:eastAsia="楷体_GB2312" w:cs="Times New Roman"/>
          <w:b/>
          <w:sz w:val="32"/>
          <w:szCs w:val="32"/>
          <w:highlight w:val="none"/>
        </w:rPr>
        <w:t>第一条</w:t>
      </w:r>
      <w:r>
        <w:rPr>
          <w:rFonts w:hint="eastAsia" w:ascii="仿宋_GB2312" w:hAnsi="仿宋" w:eastAsia="仿宋_GB2312" w:cs="仿宋_GB2312"/>
          <w:sz w:val="32"/>
          <w:szCs w:val="32"/>
          <w:highlight w:val="none"/>
          <w:lang w:bidi="ar"/>
        </w:rPr>
        <w:t xml:space="preserve"> 为推进山东省</w:t>
      </w:r>
      <w:r>
        <w:rPr>
          <w:rFonts w:hint="eastAsia" w:ascii="仿宋_GB2312" w:hAnsi="仿宋" w:eastAsia="仿宋_GB2312" w:cs="仿宋_GB2312"/>
          <w:sz w:val="32"/>
          <w:szCs w:val="32"/>
          <w:highlight w:val="none"/>
          <w:lang w:eastAsia="zh-CN" w:bidi="ar"/>
        </w:rPr>
        <w:t>医保</w:t>
      </w:r>
      <w:r>
        <w:rPr>
          <w:rFonts w:hint="eastAsia" w:ascii="仿宋_GB2312" w:hAnsi="仿宋" w:eastAsia="仿宋_GB2312" w:cs="仿宋_GB2312"/>
          <w:sz w:val="32"/>
          <w:szCs w:val="32"/>
          <w:highlight w:val="none"/>
          <w:lang w:bidi="ar"/>
        </w:rPr>
        <w:t>信用体系建设，</w:t>
      </w:r>
      <w:r>
        <w:rPr>
          <w:rFonts w:hint="eastAsia" w:ascii="仿宋_GB2312" w:hAnsi="仿宋" w:eastAsia="仿宋_GB2312" w:cs="仿宋_GB2312"/>
          <w:sz w:val="32"/>
          <w:szCs w:val="32"/>
          <w:highlight w:val="none"/>
          <w:lang w:eastAsia="zh-CN" w:bidi="ar"/>
        </w:rPr>
        <w:t>创新</w:t>
      </w:r>
      <w:r>
        <w:rPr>
          <w:rFonts w:hint="eastAsia" w:ascii="仿宋_GB2312" w:hAnsi="仿宋" w:eastAsia="仿宋_GB2312" w:cs="仿宋_GB2312"/>
          <w:sz w:val="32"/>
          <w:szCs w:val="32"/>
          <w:highlight w:val="none"/>
          <w:lang w:bidi="ar"/>
        </w:rPr>
        <w:t>医保基金监管</w:t>
      </w:r>
      <w:r>
        <w:rPr>
          <w:rFonts w:hint="eastAsia" w:ascii="仿宋_GB2312" w:hAnsi="仿宋" w:eastAsia="仿宋_GB2312" w:cs="仿宋_GB2312"/>
          <w:sz w:val="32"/>
          <w:szCs w:val="32"/>
          <w:highlight w:val="none"/>
          <w:lang w:eastAsia="zh-CN" w:bidi="ar"/>
        </w:rPr>
        <w:t>机制</w:t>
      </w:r>
      <w:r>
        <w:rPr>
          <w:rFonts w:hint="eastAsia" w:ascii="仿宋_GB2312" w:hAnsi="仿宋" w:eastAsia="仿宋_GB2312" w:cs="仿宋_GB2312"/>
          <w:sz w:val="32"/>
          <w:szCs w:val="32"/>
          <w:highlight w:val="none"/>
          <w:lang w:bidi="ar"/>
        </w:rPr>
        <w:t>，营造诚实、自律、守信、互信的信用环境，促进医保事业健康、可持续发展，根据</w:t>
      </w:r>
      <w:r>
        <w:rPr>
          <w:rFonts w:hint="eastAsia" w:ascii="仿宋_GB2312" w:hAnsi="仿宋" w:eastAsia="仿宋_GB2312" w:cs="仿宋_GB2312"/>
          <w:sz w:val="32"/>
          <w:szCs w:val="32"/>
          <w:highlight w:val="none"/>
          <w:lang w:eastAsia="zh-CN" w:bidi="ar"/>
        </w:rPr>
        <w:t>《</w:t>
      </w:r>
      <w:r>
        <w:rPr>
          <w:rFonts w:hint="eastAsia" w:ascii="仿宋_GB2312" w:hAnsi="仿宋" w:eastAsia="仿宋_GB2312" w:cs="仿宋_GB2312"/>
          <w:sz w:val="32"/>
          <w:szCs w:val="32"/>
          <w:highlight w:val="none"/>
          <w:lang w:val="en-US" w:eastAsia="zh-CN" w:bidi="ar"/>
        </w:rPr>
        <w:t>国务院办公厅关于推进医疗保障基金监管制度体系改革的指导意见</w:t>
      </w:r>
      <w:r>
        <w:rPr>
          <w:rFonts w:hint="eastAsia" w:ascii="仿宋_GB2312" w:hAnsi="仿宋" w:eastAsia="仿宋_GB2312" w:cs="仿宋_GB2312"/>
          <w:sz w:val="32"/>
          <w:szCs w:val="32"/>
          <w:highlight w:val="none"/>
          <w:lang w:eastAsia="zh-CN" w:bidi="ar"/>
        </w:rPr>
        <w:t>》</w:t>
      </w:r>
      <w:r>
        <w:rPr>
          <w:rFonts w:hint="eastAsia" w:ascii="仿宋_GB2312" w:hAnsi="仿宋" w:eastAsia="仿宋_GB2312" w:cs="仿宋_GB2312"/>
          <w:sz w:val="32"/>
          <w:szCs w:val="32"/>
          <w:highlight w:val="none"/>
          <w:lang w:bidi="ar"/>
        </w:rPr>
        <w:t>《山东省</w:t>
      </w:r>
      <w:r>
        <w:rPr>
          <w:rFonts w:hint="eastAsia" w:ascii="仿宋_GB2312" w:hAnsi="仿宋" w:eastAsia="仿宋_GB2312" w:cs="仿宋_GB2312"/>
          <w:sz w:val="32"/>
          <w:szCs w:val="32"/>
          <w:highlight w:val="none"/>
          <w:lang w:val="en-US" w:eastAsia="zh-CN" w:bidi="ar"/>
        </w:rPr>
        <w:t>社会信用条例</w:t>
      </w:r>
      <w:r>
        <w:rPr>
          <w:rFonts w:hint="eastAsia" w:ascii="仿宋_GB2312" w:hAnsi="仿宋" w:eastAsia="仿宋_GB2312" w:cs="仿宋_GB2312"/>
          <w:sz w:val="32"/>
          <w:szCs w:val="32"/>
          <w:highlight w:val="none"/>
          <w:lang w:bidi="ar"/>
        </w:rPr>
        <w:t>》</w:t>
      </w:r>
      <w:r>
        <w:rPr>
          <w:rFonts w:hint="eastAsia" w:ascii="仿宋_GB2312" w:hAnsi="仿宋" w:eastAsia="仿宋_GB2312" w:cs="仿宋_GB2312"/>
          <w:sz w:val="32"/>
          <w:szCs w:val="32"/>
          <w:highlight w:val="none"/>
          <w:lang w:val="en-US" w:eastAsia="zh-CN" w:bidi="ar"/>
        </w:rPr>
        <w:t>等</w:t>
      </w:r>
      <w:r>
        <w:rPr>
          <w:rFonts w:hint="eastAsia" w:ascii="仿宋_GB2312" w:hAnsi="仿宋" w:eastAsia="仿宋_GB2312" w:cs="仿宋_GB2312"/>
          <w:sz w:val="32"/>
          <w:szCs w:val="32"/>
          <w:highlight w:val="none"/>
          <w:lang w:bidi="ar"/>
        </w:rPr>
        <w:t>有关规定，制定本</w:t>
      </w:r>
      <w:r>
        <w:rPr>
          <w:rFonts w:hint="eastAsia" w:ascii="仿宋_GB2312" w:hAnsi="仿宋" w:eastAsia="仿宋_GB2312" w:cs="仿宋_GB2312"/>
          <w:sz w:val="32"/>
          <w:szCs w:val="32"/>
          <w:highlight w:val="none"/>
          <w:lang w:val="en-US" w:eastAsia="zh-CN" w:bidi="ar"/>
        </w:rPr>
        <w:t>试行</w:t>
      </w:r>
      <w:r>
        <w:rPr>
          <w:rFonts w:hint="eastAsia" w:ascii="仿宋_GB2312" w:hAnsi="仿宋" w:eastAsia="仿宋_GB2312" w:cs="仿宋_GB2312"/>
          <w:sz w:val="32"/>
          <w:szCs w:val="32"/>
          <w:highlight w:val="none"/>
          <w:lang w:bidi="ar"/>
        </w:rPr>
        <w:t>办法</w:t>
      </w:r>
      <w:r>
        <w:rPr>
          <w:rFonts w:hint="eastAsia" w:ascii="仿宋_GB2312" w:hAnsi="仿宋" w:eastAsia="仿宋_GB2312" w:cs="仿宋_GB2312"/>
          <w:sz w:val="32"/>
          <w:szCs w:val="32"/>
          <w:highlight w:val="none"/>
          <w:lang w:eastAsia="zh-CN" w:bidi="ar"/>
        </w:rPr>
        <w:t>（以下简称本办法）</w:t>
      </w:r>
      <w:r>
        <w:rPr>
          <w:rFonts w:hint="eastAsia" w:ascii="仿宋_GB2312" w:hAnsi="仿宋" w:eastAsia="仿宋_GB2312" w:cs="仿宋_GB2312"/>
          <w:sz w:val="32"/>
          <w:szCs w:val="32"/>
          <w:highlight w:val="none"/>
          <w:lang w:bidi="ar"/>
        </w:rPr>
        <w:t>。</w:t>
      </w:r>
    </w:p>
    <w:p>
      <w:pPr>
        <w:keepNext w:val="0"/>
        <w:keepLines w:val="0"/>
        <w:pageBreakBefore w:val="0"/>
        <w:widowControl/>
        <w:kinsoku/>
        <w:wordWrap/>
        <w:overflowPunct/>
        <w:topLinePunct w:val="0"/>
        <w:autoSpaceDE/>
        <w:autoSpaceDN/>
        <w:bidi w:val="0"/>
        <w:adjustRightInd/>
        <w:snapToGrid/>
        <w:spacing w:line="600" w:lineRule="exact"/>
        <w:ind w:firstLine="640"/>
        <w:rPr>
          <w:rFonts w:hint="eastAsia" w:ascii="仿宋_GB2312" w:hAnsi="仿宋" w:eastAsia="仿宋_GB2312" w:cs="仿宋_GB2312"/>
          <w:sz w:val="32"/>
          <w:szCs w:val="32"/>
          <w:highlight w:val="none"/>
          <w:lang w:bidi="ar"/>
        </w:rPr>
      </w:pPr>
      <w:r>
        <w:rPr>
          <w:rFonts w:hint="eastAsia" w:ascii="楷体_GB2312" w:hAnsi="仿宋_GB2312" w:eastAsia="楷体_GB2312" w:cs="Times New Roman"/>
          <w:b/>
          <w:sz w:val="32"/>
          <w:szCs w:val="32"/>
          <w:highlight w:val="none"/>
        </w:rPr>
        <w:t xml:space="preserve">第二条 </w:t>
      </w:r>
      <w:r>
        <w:rPr>
          <w:rFonts w:hint="eastAsia" w:ascii="仿宋_GB2312" w:hAnsi="仿宋" w:eastAsia="仿宋_GB2312" w:cs="仿宋_GB2312"/>
          <w:sz w:val="32"/>
          <w:szCs w:val="32"/>
          <w:highlight w:val="none"/>
          <w:lang w:bidi="ar"/>
        </w:rPr>
        <w:t>山东省</w:t>
      </w:r>
      <w:r>
        <w:rPr>
          <w:rFonts w:hint="eastAsia" w:ascii="仿宋_GB2312" w:hAnsi="仿宋" w:eastAsia="仿宋_GB2312" w:cs="仿宋_GB2312"/>
          <w:sz w:val="32"/>
          <w:szCs w:val="32"/>
          <w:highlight w:val="none"/>
          <w:lang w:val="en-US" w:eastAsia="zh-CN" w:bidi="ar"/>
        </w:rPr>
        <w:t>各统筹区医保定点</w:t>
      </w:r>
      <w:r>
        <w:rPr>
          <w:rFonts w:hint="eastAsia" w:ascii="仿宋_GB2312" w:hAnsi="仿宋" w:eastAsia="仿宋_GB2312" w:cs="仿宋_GB2312"/>
          <w:sz w:val="32"/>
          <w:szCs w:val="32"/>
          <w:highlight w:val="none"/>
          <w:lang w:bidi="ar"/>
        </w:rPr>
        <w:t>医疗机构和</w:t>
      </w:r>
      <w:r>
        <w:rPr>
          <w:rFonts w:hint="eastAsia" w:ascii="仿宋_GB2312" w:hAnsi="仿宋" w:eastAsia="仿宋_GB2312" w:cs="仿宋_GB2312"/>
          <w:sz w:val="32"/>
          <w:szCs w:val="32"/>
          <w:highlight w:val="none"/>
          <w:lang w:val="en-US" w:eastAsia="zh-CN" w:bidi="ar"/>
        </w:rPr>
        <w:t>定点零售药店</w:t>
      </w:r>
      <w:r>
        <w:rPr>
          <w:rFonts w:hint="eastAsia" w:ascii="仿宋_GB2312" w:hAnsi="仿宋" w:eastAsia="仿宋_GB2312" w:cs="仿宋_GB2312"/>
          <w:sz w:val="32"/>
          <w:szCs w:val="32"/>
          <w:highlight w:val="none"/>
          <w:lang w:bidi="ar"/>
        </w:rPr>
        <w:t>（以下简称定点医药机构）</w:t>
      </w:r>
      <w:r>
        <w:rPr>
          <w:rFonts w:hint="eastAsia" w:ascii="仿宋_GB2312" w:hAnsi="仿宋" w:eastAsia="仿宋_GB2312" w:cs="仿宋_GB2312"/>
          <w:sz w:val="32"/>
          <w:szCs w:val="32"/>
          <w:highlight w:val="none"/>
          <w:lang w:val="en-US" w:eastAsia="zh-CN" w:bidi="ar"/>
        </w:rPr>
        <w:t>的</w:t>
      </w:r>
      <w:r>
        <w:rPr>
          <w:rFonts w:hint="eastAsia" w:ascii="仿宋_GB2312" w:hAnsi="仿宋" w:eastAsia="仿宋_GB2312" w:cs="仿宋_GB2312"/>
          <w:sz w:val="32"/>
          <w:szCs w:val="32"/>
          <w:highlight w:val="none"/>
          <w:lang w:eastAsia="zh-CN" w:bidi="ar"/>
        </w:rPr>
        <w:t>医保</w:t>
      </w:r>
      <w:r>
        <w:rPr>
          <w:rFonts w:hint="eastAsia" w:ascii="仿宋_GB2312" w:hAnsi="仿宋" w:eastAsia="仿宋_GB2312" w:cs="仿宋_GB2312"/>
          <w:sz w:val="32"/>
          <w:szCs w:val="32"/>
          <w:highlight w:val="none"/>
          <w:lang w:bidi="ar"/>
        </w:rPr>
        <w:t>信用</w:t>
      </w:r>
      <w:r>
        <w:rPr>
          <w:rFonts w:hint="eastAsia" w:ascii="仿宋_GB2312" w:hAnsi="仿宋" w:eastAsia="仿宋_GB2312" w:cs="仿宋_GB2312"/>
          <w:sz w:val="32"/>
          <w:szCs w:val="32"/>
          <w:highlight w:val="none"/>
          <w:lang w:val="en-US" w:eastAsia="zh-CN" w:bidi="ar"/>
        </w:rPr>
        <w:t>评价</w:t>
      </w:r>
      <w:r>
        <w:rPr>
          <w:rFonts w:hint="eastAsia" w:ascii="仿宋_GB2312" w:hAnsi="仿宋" w:eastAsia="仿宋_GB2312" w:cs="仿宋_GB2312"/>
          <w:sz w:val="32"/>
          <w:szCs w:val="32"/>
          <w:highlight w:val="none"/>
          <w:lang w:bidi="ar"/>
        </w:rPr>
        <w:t>工作</w:t>
      </w:r>
      <w:r>
        <w:rPr>
          <w:rFonts w:hint="eastAsia" w:ascii="仿宋_GB2312" w:hAnsi="仿宋" w:eastAsia="仿宋_GB2312" w:cs="仿宋_GB2312"/>
          <w:sz w:val="32"/>
          <w:szCs w:val="32"/>
          <w:highlight w:val="none"/>
          <w:lang w:eastAsia="zh-CN" w:bidi="ar"/>
        </w:rPr>
        <w:t>，</w:t>
      </w:r>
      <w:r>
        <w:rPr>
          <w:rFonts w:hint="eastAsia" w:ascii="仿宋_GB2312" w:hAnsi="仿宋" w:eastAsia="仿宋_GB2312" w:cs="仿宋_GB2312"/>
          <w:sz w:val="32"/>
          <w:szCs w:val="32"/>
          <w:highlight w:val="none"/>
          <w:lang w:bidi="ar"/>
        </w:rPr>
        <w:t>适用本办法。</w:t>
      </w:r>
    </w:p>
    <w:p>
      <w:pPr>
        <w:keepNext w:val="0"/>
        <w:keepLines w:val="0"/>
        <w:pageBreakBefore w:val="0"/>
        <w:kinsoku/>
        <w:wordWrap/>
        <w:overflowPunct/>
        <w:topLinePunct w:val="0"/>
        <w:autoSpaceDE/>
        <w:autoSpaceDN/>
        <w:bidi w:val="0"/>
        <w:adjustRightInd/>
        <w:snapToGrid/>
        <w:spacing w:line="600" w:lineRule="exact"/>
        <w:ind w:firstLine="630"/>
        <w:rPr>
          <w:rFonts w:ascii="仿宋_GB2312" w:hAnsi="仿宋_GB2312" w:eastAsia="仿宋_GB2312"/>
          <w:sz w:val="32"/>
          <w:szCs w:val="32"/>
          <w:highlight w:val="none"/>
        </w:rPr>
      </w:pPr>
      <w:r>
        <w:rPr>
          <w:rFonts w:hint="eastAsia" w:ascii="楷体_GB2312" w:hAnsi="仿宋_GB2312" w:eastAsia="楷体_GB2312" w:cs="Times New Roman"/>
          <w:b/>
          <w:sz w:val="32"/>
          <w:szCs w:val="32"/>
          <w:highlight w:val="none"/>
        </w:rPr>
        <w:t>第三条</w:t>
      </w:r>
      <w:r>
        <w:rPr>
          <w:rFonts w:hint="eastAsia" w:ascii="仿宋_GB2312" w:hAnsi="仿宋_GB2312" w:eastAsia="仿宋_GB2312" w:cs="Times New Roman"/>
          <w:b/>
          <w:sz w:val="32"/>
          <w:szCs w:val="32"/>
          <w:highlight w:val="none"/>
        </w:rPr>
        <w:t xml:space="preserve"> </w:t>
      </w:r>
      <w:r>
        <w:rPr>
          <w:rFonts w:hint="eastAsia" w:ascii="仿宋_GB2312" w:hAnsi="仿宋_GB2312" w:eastAsia="仿宋_GB2312"/>
          <w:sz w:val="32"/>
          <w:szCs w:val="32"/>
          <w:highlight w:val="none"/>
          <w:lang w:eastAsia="zh-CN"/>
        </w:rPr>
        <w:t>定点医药机构</w:t>
      </w:r>
      <w:r>
        <w:rPr>
          <w:rFonts w:ascii="仿宋_GB2312" w:hAnsi="仿宋_GB2312" w:eastAsia="仿宋_GB2312"/>
          <w:sz w:val="32"/>
          <w:szCs w:val="32"/>
          <w:highlight w:val="none"/>
        </w:rPr>
        <w:t>医保信用</w:t>
      </w:r>
      <w:r>
        <w:rPr>
          <w:rFonts w:hint="eastAsia" w:ascii="仿宋_GB2312" w:hAnsi="仿宋_GB2312" w:eastAsia="仿宋_GB2312"/>
          <w:sz w:val="32"/>
          <w:szCs w:val="32"/>
          <w:highlight w:val="none"/>
          <w:lang w:val="en-US" w:eastAsia="zh-CN"/>
        </w:rPr>
        <w:t>评价</w:t>
      </w:r>
      <w:r>
        <w:rPr>
          <w:rFonts w:hint="eastAsia" w:ascii="仿宋_GB2312" w:hAnsi="仿宋_GB2312" w:eastAsia="仿宋_GB2312"/>
          <w:sz w:val="32"/>
          <w:szCs w:val="32"/>
          <w:highlight w:val="none"/>
        </w:rPr>
        <w:t>应</w:t>
      </w:r>
      <w:r>
        <w:rPr>
          <w:rFonts w:ascii="仿宋_GB2312" w:hAnsi="仿宋_GB2312" w:eastAsia="仿宋_GB2312"/>
          <w:sz w:val="32"/>
          <w:szCs w:val="32"/>
          <w:highlight w:val="none"/>
        </w:rPr>
        <w:t>遵循</w:t>
      </w:r>
      <w:r>
        <w:rPr>
          <w:rFonts w:hint="eastAsia" w:ascii="仿宋_GB2312" w:hAnsi="仿宋_GB2312" w:eastAsia="仿宋_GB2312"/>
          <w:sz w:val="32"/>
          <w:szCs w:val="32"/>
          <w:highlight w:val="none"/>
        </w:rPr>
        <w:t>依法依规、客观公正、公开透明、动态调整、共建共享、奖惩结合的原则，维护</w:t>
      </w:r>
      <w:r>
        <w:rPr>
          <w:rFonts w:hint="eastAsia" w:ascii="仿宋_GB2312" w:hAnsi="仿宋_GB2312" w:eastAsia="仿宋_GB2312"/>
          <w:sz w:val="32"/>
          <w:szCs w:val="32"/>
          <w:highlight w:val="none"/>
          <w:lang w:val="en-US" w:eastAsia="zh-CN"/>
        </w:rPr>
        <w:t>定点医药机构</w:t>
      </w:r>
      <w:r>
        <w:rPr>
          <w:rFonts w:hint="eastAsia" w:ascii="仿宋_GB2312" w:hAnsi="仿宋_GB2312" w:eastAsia="仿宋_GB2312"/>
          <w:sz w:val="32"/>
          <w:szCs w:val="32"/>
          <w:highlight w:val="none"/>
        </w:rPr>
        <w:t>的合法权益。</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sz w:val="32"/>
          <w:szCs w:val="32"/>
          <w:highlight w:val="none"/>
          <w:lang w:eastAsia="zh-CN"/>
        </w:rPr>
      </w:pPr>
      <w:r>
        <w:rPr>
          <w:rFonts w:hint="eastAsia" w:ascii="楷体_GB2312" w:hAnsi="仿宋_GB2312" w:eastAsia="楷体_GB2312" w:cs="Times New Roman"/>
          <w:b/>
          <w:sz w:val="32"/>
          <w:szCs w:val="32"/>
          <w:highlight w:val="none"/>
        </w:rPr>
        <w:t>第</w:t>
      </w:r>
      <w:r>
        <w:rPr>
          <w:rFonts w:hint="eastAsia" w:ascii="楷体_GB2312" w:hAnsi="仿宋_GB2312" w:eastAsia="楷体_GB2312" w:cs="Times New Roman"/>
          <w:b/>
          <w:sz w:val="32"/>
          <w:szCs w:val="32"/>
          <w:highlight w:val="none"/>
          <w:lang w:eastAsia="zh-CN"/>
        </w:rPr>
        <w:t>四</w:t>
      </w:r>
      <w:r>
        <w:rPr>
          <w:rFonts w:hint="eastAsia" w:ascii="楷体_GB2312" w:hAnsi="仿宋_GB2312" w:eastAsia="楷体_GB2312" w:cs="Times New Roman"/>
          <w:b/>
          <w:sz w:val="32"/>
          <w:szCs w:val="32"/>
          <w:highlight w:val="none"/>
        </w:rPr>
        <w:t>条</w:t>
      </w:r>
      <w:r>
        <w:rPr>
          <w:rFonts w:ascii="仿宋_GB2312" w:hAnsi="仿宋_GB2312" w:eastAsia="仿宋_GB2312" w:cs="Times New Roman"/>
          <w:b/>
          <w:sz w:val="32"/>
          <w:szCs w:val="32"/>
          <w:highlight w:val="none"/>
        </w:rPr>
        <w:t xml:space="preserve"> </w:t>
      </w:r>
      <w:r>
        <w:rPr>
          <w:rFonts w:ascii="仿宋_GB2312" w:hAnsi="仿宋_GB2312" w:eastAsia="仿宋_GB2312"/>
          <w:sz w:val="32"/>
          <w:szCs w:val="32"/>
          <w:highlight w:val="none"/>
        </w:rPr>
        <w:t>省</w:t>
      </w:r>
      <w:r>
        <w:rPr>
          <w:rFonts w:hint="eastAsia" w:ascii="仿宋_GB2312" w:hAnsi="仿宋" w:eastAsia="仿宋_GB2312" w:cs="仿宋_GB2312"/>
          <w:sz w:val="32"/>
          <w:szCs w:val="32"/>
          <w:highlight w:val="none"/>
          <w:lang w:val="en-US" w:eastAsia="zh-CN" w:bidi="ar"/>
        </w:rPr>
        <w:t>级医疗保障行政部门负责全省定点医药机构医保信用评价组织管理工作</w:t>
      </w:r>
      <w:r>
        <w:rPr>
          <w:rFonts w:hint="eastAsia" w:ascii="仿宋_GB2312" w:hAnsi="仿宋_GB2312" w:eastAsia="仿宋_GB2312"/>
          <w:sz w:val="32"/>
          <w:szCs w:val="32"/>
          <w:highlight w:val="none"/>
        </w:rPr>
        <w:t>。市</w:t>
      </w:r>
      <w:r>
        <w:rPr>
          <w:rFonts w:hint="eastAsia" w:ascii="仿宋_GB2312" w:hAnsi="仿宋_GB2312" w:eastAsia="仿宋_GB2312"/>
          <w:sz w:val="32"/>
          <w:szCs w:val="32"/>
          <w:highlight w:val="none"/>
          <w:lang w:eastAsia="zh-CN"/>
        </w:rPr>
        <w:t>级</w:t>
      </w:r>
      <w:r>
        <w:rPr>
          <w:rFonts w:hint="eastAsia" w:ascii="仿宋_GB2312" w:hAnsi="仿宋_GB2312" w:eastAsia="仿宋_GB2312"/>
          <w:sz w:val="32"/>
          <w:szCs w:val="32"/>
          <w:highlight w:val="none"/>
        </w:rPr>
        <w:t>医疗保障</w:t>
      </w:r>
      <w:r>
        <w:rPr>
          <w:rFonts w:hint="eastAsia" w:ascii="仿宋_GB2312" w:hAnsi="仿宋_GB2312" w:eastAsia="仿宋_GB2312"/>
          <w:sz w:val="32"/>
          <w:szCs w:val="32"/>
          <w:highlight w:val="none"/>
          <w:lang w:eastAsia="zh-CN"/>
        </w:rPr>
        <w:t>行政</w:t>
      </w:r>
      <w:r>
        <w:rPr>
          <w:rFonts w:hint="eastAsia" w:ascii="仿宋_GB2312" w:hAnsi="仿宋_GB2312" w:eastAsia="仿宋_GB2312"/>
          <w:sz w:val="32"/>
          <w:szCs w:val="32"/>
          <w:highlight w:val="none"/>
        </w:rPr>
        <w:t>部门负责</w:t>
      </w:r>
      <w:r>
        <w:rPr>
          <w:rFonts w:hint="eastAsia" w:ascii="仿宋_GB2312" w:hAnsi="仿宋_GB2312" w:eastAsia="仿宋_GB2312"/>
          <w:sz w:val="32"/>
          <w:szCs w:val="32"/>
          <w:highlight w:val="none"/>
          <w:lang w:eastAsia="zh-CN"/>
        </w:rPr>
        <w:t>属地定点医药机构</w:t>
      </w:r>
      <w:r>
        <w:rPr>
          <w:rFonts w:hint="eastAsia" w:ascii="仿宋_GB2312" w:hAnsi="仿宋_GB2312" w:eastAsia="仿宋_GB2312"/>
          <w:sz w:val="32"/>
          <w:szCs w:val="32"/>
          <w:highlight w:val="none"/>
        </w:rPr>
        <w:t>医保信用</w:t>
      </w:r>
      <w:r>
        <w:rPr>
          <w:rFonts w:hint="eastAsia" w:ascii="仿宋_GB2312" w:hAnsi="仿宋_GB2312" w:eastAsia="仿宋_GB2312"/>
          <w:sz w:val="32"/>
          <w:szCs w:val="32"/>
          <w:highlight w:val="none"/>
          <w:lang w:val="en-US" w:eastAsia="zh-CN"/>
        </w:rPr>
        <w:t>评价</w:t>
      </w:r>
      <w:r>
        <w:rPr>
          <w:rFonts w:hint="eastAsia" w:ascii="仿宋_GB2312" w:hAnsi="仿宋_GB2312" w:eastAsia="仿宋_GB2312"/>
          <w:sz w:val="32"/>
          <w:szCs w:val="32"/>
          <w:highlight w:val="none"/>
        </w:rPr>
        <w:t>工作，制定信用</w:t>
      </w:r>
      <w:r>
        <w:rPr>
          <w:rFonts w:hint="eastAsia" w:ascii="仿宋_GB2312" w:hAnsi="仿宋_GB2312" w:eastAsia="仿宋_GB2312"/>
          <w:sz w:val="32"/>
          <w:szCs w:val="32"/>
          <w:highlight w:val="none"/>
          <w:lang w:val="en-US" w:eastAsia="zh-CN"/>
        </w:rPr>
        <w:t>评价</w:t>
      </w:r>
      <w:r>
        <w:rPr>
          <w:rFonts w:hint="eastAsia" w:ascii="仿宋_GB2312" w:hAnsi="仿宋_GB2312" w:eastAsia="仿宋_GB2312"/>
          <w:sz w:val="32"/>
          <w:szCs w:val="32"/>
          <w:highlight w:val="none"/>
        </w:rPr>
        <w:t>的具体实施细则</w:t>
      </w:r>
      <w:r>
        <w:rPr>
          <w:rFonts w:hint="eastAsia" w:ascii="仿宋_GB2312" w:hAnsi="仿宋_GB2312"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sz w:val="32"/>
          <w:szCs w:val="32"/>
          <w:highlight w:val="none"/>
          <w:lang w:eastAsia="zh-CN"/>
        </w:rPr>
      </w:pPr>
      <w:r>
        <w:rPr>
          <w:rFonts w:hint="eastAsia" w:ascii="仿宋_GB2312" w:hAnsi="仿宋_GB2312" w:eastAsia="仿宋_GB2312"/>
          <w:sz w:val="32"/>
          <w:szCs w:val="32"/>
          <w:highlight w:val="none"/>
        </w:rPr>
        <w:t>医疗保障经办机构</w:t>
      </w:r>
      <w:r>
        <w:rPr>
          <w:rFonts w:hint="eastAsia" w:ascii="仿宋_GB2312" w:hAnsi="仿宋_GB2312" w:eastAsia="仿宋_GB2312"/>
          <w:sz w:val="32"/>
          <w:szCs w:val="32"/>
          <w:highlight w:val="none"/>
          <w:lang w:val="en-US" w:eastAsia="zh-CN"/>
        </w:rPr>
        <w:t>负责属地</w:t>
      </w:r>
      <w:r>
        <w:rPr>
          <w:rFonts w:hint="eastAsia" w:ascii="仿宋_GB2312" w:hAnsi="仿宋_GB2312" w:eastAsia="仿宋_GB2312"/>
          <w:sz w:val="32"/>
          <w:szCs w:val="32"/>
          <w:highlight w:val="none"/>
          <w:lang w:eastAsia="zh-CN"/>
        </w:rPr>
        <w:t>定点医药机构</w:t>
      </w:r>
      <w:r>
        <w:rPr>
          <w:rFonts w:hint="eastAsia" w:ascii="仿宋_GB2312" w:hAnsi="仿宋_GB2312" w:eastAsia="仿宋_GB2312"/>
          <w:sz w:val="32"/>
          <w:szCs w:val="32"/>
          <w:highlight w:val="none"/>
        </w:rPr>
        <w:t>医保</w:t>
      </w:r>
      <w:r>
        <w:rPr>
          <w:rFonts w:hint="eastAsia" w:ascii="仿宋_GB2312" w:hAnsi="仿宋_GB2312" w:eastAsia="仿宋_GB2312"/>
          <w:sz w:val="32"/>
          <w:szCs w:val="32"/>
          <w:highlight w:val="none"/>
          <w:lang w:eastAsia="zh-CN"/>
        </w:rPr>
        <w:t>信用</w:t>
      </w:r>
      <w:r>
        <w:rPr>
          <w:rFonts w:hint="default" w:ascii="仿宋_GB2312" w:hAnsi="仿宋_GB2312" w:eastAsia="仿宋_GB2312"/>
          <w:sz w:val="32"/>
          <w:szCs w:val="32"/>
          <w:highlight w:val="none"/>
          <w:lang w:val="en-US" w:eastAsia="zh-CN"/>
        </w:rPr>
        <w:t>评价</w:t>
      </w:r>
      <w:r>
        <w:rPr>
          <w:rFonts w:hint="eastAsia" w:ascii="仿宋_GB2312" w:hAnsi="仿宋_GB2312" w:eastAsia="仿宋_GB2312"/>
          <w:sz w:val="32"/>
          <w:szCs w:val="32"/>
          <w:highlight w:val="none"/>
        </w:rPr>
        <w:t>的具体工作</w:t>
      </w:r>
      <w:r>
        <w:rPr>
          <w:rFonts w:ascii="仿宋_GB2312" w:hAnsi="仿宋_GB2312" w:eastAsia="仿宋_GB2312"/>
          <w:sz w:val="32"/>
          <w:szCs w:val="32"/>
          <w:highlight w:val="none"/>
        </w:rPr>
        <w:t>，</w:t>
      </w:r>
      <w:r>
        <w:rPr>
          <w:rFonts w:hint="eastAsia" w:ascii="仿宋_GB2312" w:hAnsi="仿宋_GB2312" w:eastAsia="仿宋_GB2312"/>
          <w:sz w:val="32"/>
          <w:szCs w:val="32"/>
          <w:highlight w:val="none"/>
        </w:rPr>
        <w:t>也可</w:t>
      </w:r>
      <w:r>
        <w:rPr>
          <w:rFonts w:hint="eastAsia" w:ascii="仿宋_GB2312" w:hAnsi="仿宋_GB2312" w:eastAsia="仿宋_GB2312"/>
          <w:sz w:val="32"/>
          <w:szCs w:val="32"/>
          <w:highlight w:val="none"/>
          <w:lang w:val="en-US" w:eastAsia="zh-Hans"/>
        </w:rPr>
        <w:t>由医疗保障行政部门</w:t>
      </w:r>
      <w:r>
        <w:rPr>
          <w:rFonts w:hint="eastAsia" w:ascii="仿宋_GB2312" w:hAnsi="仿宋_GB2312" w:eastAsia="仿宋_GB2312"/>
          <w:sz w:val="32"/>
          <w:szCs w:val="32"/>
          <w:highlight w:val="none"/>
        </w:rPr>
        <w:t>委托符合资质的第三方信用服务机构开展信用</w:t>
      </w:r>
      <w:r>
        <w:rPr>
          <w:rFonts w:hint="eastAsia" w:ascii="仿宋_GB2312" w:hAnsi="仿宋_GB2312" w:eastAsia="仿宋_GB2312"/>
          <w:sz w:val="32"/>
          <w:szCs w:val="32"/>
          <w:highlight w:val="none"/>
          <w:lang w:val="en-US" w:eastAsia="zh-CN"/>
        </w:rPr>
        <w:t>评级</w:t>
      </w:r>
      <w:r>
        <w:rPr>
          <w:rFonts w:hint="eastAsia" w:ascii="仿宋_GB2312" w:hAnsi="仿宋_GB2312" w:eastAsia="仿宋_GB2312"/>
          <w:sz w:val="32"/>
          <w:szCs w:val="32"/>
          <w:highlight w:val="none"/>
        </w:rPr>
        <w:t>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ascii="仿宋_GB2312" w:hAnsi="仿宋_GB2312" w:eastAsia="仿宋_GB2312"/>
          <w:sz w:val="32"/>
          <w:szCs w:val="32"/>
          <w:highlight w:val="none"/>
        </w:rPr>
      </w:pPr>
      <w:r>
        <w:rPr>
          <w:rFonts w:hint="eastAsia" w:ascii="楷体_GB2312" w:hAnsi="仿宋_GB2312" w:eastAsia="楷体_GB2312" w:cs="Times New Roman"/>
          <w:b/>
          <w:sz w:val="32"/>
          <w:szCs w:val="32"/>
          <w:highlight w:val="none"/>
        </w:rPr>
        <w:t>第</w:t>
      </w:r>
      <w:r>
        <w:rPr>
          <w:rFonts w:hint="eastAsia" w:ascii="楷体_GB2312" w:hAnsi="仿宋_GB2312" w:eastAsia="楷体_GB2312" w:cs="Times New Roman"/>
          <w:b/>
          <w:sz w:val="32"/>
          <w:szCs w:val="32"/>
          <w:highlight w:val="none"/>
          <w:lang w:eastAsia="zh-CN"/>
        </w:rPr>
        <w:t>五</w:t>
      </w:r>
      <w:r>
        <w:rPr>
          <w:rFonts w:hint="eastAsia" w:ascii="楷体_GB2312" w:hAnsi="仿宋_GB2312" w:eastAsia="楷体_GB2312" w:cs="Times New Roman"/>
          <w:b/>
          <w:sz w:val="32"/>
          <w:szCs w:val="32"/>
          <w:highlight w:val="none"/>
        </w:rPr>
        <w:t>条</w:t>
      </w:r>
      <w:r>
        <w:rPr>
          <w:rFonts w:ascii="仿宋_GB2312" w:hAnsi="仿宋_GB2312" w:eastAsia="仿宋_GB2312" w:cs="Times New Roman"/>
          <w:b/>
          <w:sz w:val="32"/>
          <w:szCs w:val="32"/>
          <w:highlight w:val="none"/>
        </w:rPr>
        <w:t xml:space="preserve"> </w:t>
      </w:r>
      <w:r>
        <w:rPr>
          <w:rFonts w:hint="eastAsia" w:ascii="仿宋_GB2312" w:hAnsi="仿宋_GB2312" w:eastAsia="仿宋_GB2312" w:cs="Times New Roman"/>
          <w:sz w:val="32"/>
          <w:szCs w:val="32"/>
          <w:highlight w:val="none"/>
        </w:rPr>
        <w:t>省</w:t>
      </w:r>
      <w:r>
        <w:rPr>
          <w:rFonts w:hint="eastAsia" w:ascii="仿宋_GB2312" w:hAnsi="仿宋_GB2312" w:eastAsia="仿宋_GB2312" w:cs="Times New Roman"/>
          <w:sz w:val="32"/>
          <w:szCs w:val="32"/>
          <w:highlight w:val="none"/>
          <w:lang w:eastAsia="zh-CN"/>
        </w:rPr>
        <w:t>级</w:t>
      </w:r>
      <w:r>
        <w:rPr>
          <w:rFonts w:hint="eastAsia" w:ascii="仿宋_GB2312" w:hAnsi="仿宋_GB2312" w:eastAsia="仿宋_GB2312" w:cs="Times New Roman"/>
          <w:sz w:val="32"/>
          <w:szCs w:val="32"/>
          <w:highlight w:val="none"/>
        </w:rPr>
        <w:t>医疗</w:t>
      </w:r>
      <w:r>
        <w:rPr>
          <w:rFonts w:hint="eastAsia" w:ascii="仿宋_GB2312" w:hAnsi="仿宋_GB2312" w:eastAsia="仿宋_GB2312"/>
          <w:sz w:val="32"/>
          <w:szCs w:val="32"/>
          <w:highlight w:val="none"/>
        </w:rPr>
        <w:t>保障行政部门</w:t>
      </w:r>
      <w:r>
        <w:rPr>
          <w:rFonts w:hint="eastAsia" w:ascii="仿宋_GB2312" w:hAnsi="仿宋_GB2312" w:eastAsia="仿宋_GB2312"/>
          <w:sz w:val="32"/>
          <w:szCs w:val="32"/>
          <w:highlight w:val="none"/>
          <w:lang w:eastAsia="zh-CN"/>
        </w:rPr>
        <w:t>统一</w:t>
      </w:r>
      <w:r>
        <w:rPr>
          <w:rFonts w:hint="eastAsia" w:ascii="仿宋_GB2312" w:hAnsi="仿宋_GB2312" w:eastAsia="仿宋_GB2312"/>
          <w:sz w:val="32"/>
          <w:szCs w:val="32"/>
          <w:highlight w:val="none"/>
        </w:rPr>
        <w:t>建设全省</w:t>
      </w:r>
      <w:r>
        <w:rPr>
          <w:rFonts w:hint="eastAsia" w:ascii="仿宋_GB2312" w:hAnsi="仿宋_GB2312" w:eastAsia="仿宋_GB2312"/>
          <w:sz w:val="32"/>
          <w:szCs w:val="32"/>
          <w:highlight w:val="none"/>
          <w:lang w:eastAsia="zh-CN"/>
        </w:rPr>
        <w:t>医保信用评价信息</w:t>
      </w:r>
      <w:r>
        <w:rPr>
          <w:rFonts w:hint="eastAsia" w:ascii="仿宋_GB2312" w:hAnsi="仿宋_GB2312" w:eastAsia="仿宋_GB2312"/>
          <w:sz w:val="32"/>
          <w:szCs w:val="32"/>
          <w:highlight w:val="none"/>
        </w:rPr>
        <w:t>管理平台，以数据和应用标准化为原则，围绕</w:t>
      </w:r>
      <w:r>
        <w:rPr>
          <w:rFonts w:hint="eastAsia" w:ascii="仿宋_GB2312" w:hAnsi="仿宋_GB2312" w:eastAsia="仿宋_GB2312"/>
          <w:sz w:val="32"/>
          <w:szCs w:val="32"/>
          <w:highlight w:val="none"/>
          <w:lang w:eastAsia="zh-CN"/>
        </w:rPr>
        <w:t>信用评价</w:t>
      </w:r>
      <w:r>
        <w:rPr>
          <w:rFonts w:hint="eastAsia" w:ascii="仿宋_GB2312" w:hAnsi="仿宋_GB2312" w:eastAsia="仿宋_GB2312"/>
          <w:sz w:val="32"/>
          <w:szCs w:val="32"/>
          <w:highlight w:val="none"/>
        </w:rPr>
        <w:t>的全流程，整合医疗保障领域信用</w:t>
      </w:r>
      <w:r>
        <w:rPr>
          <w:rFonts w:hint="eastAsia" w:ascii="仿宋_GB2312" w:hAnsi="仿宋_GB2312" w:eastAsia="仿宋_GB2312"/>
          <w:sz w:val="32"/>
          <w:szCs w:val="32"/>
          <w:highlight w:val="none"/>
          <w:lang w:val="en-US" w:eastAsia="zh-CN"/>
        </w:rPr>
        <w:t>评价</w:t>
      </w:r>
      <w:r>
        <w:rPr>
          <w:rFonts w:hint="eastAsia" w:ascii="仿宋_GB2312" w:hAnsi="仿宋_GB2312" w:eastAsia="仿宋_GB2312"/>
          <w:sz w:val="32"/>
          <w:szCs w:val="32"/>
          <w:highlight w:val="none"/>
        </w:rPr>
        <w:t>信息资源，实现信息化管理。</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lang w:eastAsia="zh-CN"/>
        </w:rPr>
        <w:t>市级</w:t>
      </w:r>
      <w:r>
        <w:rPr>
          <w:rFonts w:hint="eastAsia" w:ascii="仿宋_GB2312" w:hAnsi="仿宋_GB2312" w:eastAsia="仿宋_GB2312"/>
          <w:sz w:val="32"/>
          <w:szCs w:val="32"/>
          <w:highlight w:val="none"/>
        </w:rPr>
        <w:t>医疗保障行政部门</w:t>
      </w:r>
      <w:r>
        <w:rPr>
          <w:rFonts w:hint="eastAsia" w:ascii="仿宋_GB2312" w:hAnsi="仿宋_GB2312" w:eastAsia="仿宋_GB2312"/>
          <w:sz w:val="32"/>
          <w:szCs w:val="32"/>
          <w:highlight w:val="none"/>
          <w:lang w:eastAsia="zh-CN"/>
        </w:rPr>
        <w:t>负责属地医保信用</w:t>
      </w:r>
      <w:r>
        <w:rPr>
          <w:rFonts w:hint="eastAsia" w:ascii="仿宋_GB2312" w:hAnsi="仿宋_GB2312" w:eastAsia="仿宋_GB2312"/>
          <w:sz w:val="32"/>
          <w:szCs w:val="32"/>
          <w:highlight w:val="none"/>
          <w:lang w:val="en-US" w:eastAsia="zh-CN"/>
        </w:rPr>
        <w:t>评价</w:t>
      </w:r>
      <w:r>
        <w:rPr>
          <w:rFonts w:hint="eastAsia" w:ascii="仿宋_GB2312" w:hAnsi="仿宋_GB2312" w:eastAsia="仿宋_GB2312"/>
          <w:sz w:val="32"/>
          <w:szCs w:val="32"/>
          <w:highlight w:val="none"/>
        </w:rPr>
        <w:t>信息平台管理，</w:t>
      </w:r>
      <w:r>
        <w:rPr>
          <w:rFonts w:hint="eastAsia" w:ascii="仿宋_GB2312" w:hAnsi="仿宋_GB2312" w:eastAsia="仿宋_GB2312"/>
          <w:sz w:val="32"/>
          <w:szCs w:val="32"/>
          <w:highlight w:val="none"/>
          <w:lang w:eastAsia="zh-CN"/>
        </w:rPr>
        <w:t>县级以上</w:t>
      </w:r>
      <w:r>
        <w:rPr>
          <w:rFonts w:hint="eastAsia" w:ascii="仿宋_GB2312" w:hAnsi="仿宋_GB2312" w:eastAsia="仿宋_GB2312"/>
          <w:sz w:val="32"/>
          <w:szCs w:val="32"/>
          <w:highlight w:val="none"/>
          <w:lang w:val="en-US" w:eastAsia="zh-CN"/>
        </w:rPr>
        <w:t>医疗保障经办机构组织</w:t>
      </w:r>
      <w:r>
        <w:rPr>
          <w:rFonts w:hint="eastAsia" w:ascii="仿宋_GB2312" w:hAnsi="仿宋_GB2312" w:eastAsia="仿宋_GB2312"/>
          <w:sz w:val="32"/>
          <w:szCs w:val="32"/>
          <w:highlight w:val="none"/>
          <w:lang w:eastAsia="zh-CN"/>
        </w:rPr>
        <w:t>开展医保信用</w:t>
      </w:r>
      <w:r>
        <w:rPr>
          <w:rFonts w:hint="eastAsia" w:ascii="仿宋_GB2312" w:hAnsi="仿宋_GB2312" w:eastAsia="仿宋_GB2312"/>
          <w:sz w:val="32"/>
          <w:szCs w:val="32"/>
          <w:highlight w:val="none"/>
          <w:lang w:val="en-US" w:eastAsia="zh-CN"/>
        </w:rPr>
        <w:t>评价</w:t>
      </w:r>
      <w:r>
        <w:rPr>
          <w:rFonts w:hint="eastAsia" w:ascii="仿宋_GB2312" w:hAnsi="仿宋_GB2312" w:eastAsia="仿宋_GB2312"/>
          <w:sz w:val="32"/>
          <w:szCs w:val="32"/>
          <w:highlight w:val="none"/>
          <w:lang w:eastAsia="zh-CN"/>
        </w:rPr>
        <w:t>信息</w:t>
      </w:r>
      <w:r>
        <w:rPr>
          <w:rFonts w:hint="eastAsia" w:ascii="仿宋_GB2312" w:hAnsi="仿宋_GB2312" w:eastAsia="仿宋_GB2312"/>
          <w:sz w:val="32"/>
          <w:szCs w:val="32"/>
          <w:highlight w:val="none"/>
        </w:rPr>
        <w:t>数据采集、上传、记录、存储和应用。</w:t>
      </w:r>
    </w:p>
    <w:p>
      <w:pPr>
        <w:spacing w:line="600" w:lineRule="exact"/>
        <w:ind w:firstLineChars="200"/>
        <w:rPr>
          <w:rFonts w:hint="eastAsia" w:ascii="仿宋_GB2312" w:hAnsi="仿宋_GB2312" w:eastAsia="仿宋_GB2312"/>
          <w:b w:val="0"/>
          <w:color w:val="000000"/>
          <w:kern w:val="2"/>
          <w:sz w:val="32"/>
          <w:szCs w:val="32"/>
          <w:highlight w:val="none"/>
          <w:lang w:val="en-US" w:eastAsia="zh-CN"/>
        </w:rPr>
      </w:pPr>
      <w:r>
        <w:rPr>
          <w:rFonts w:hint="eastAsia" w:ascii="楷体_GB2312" w:hAnsi="仿宋_GB2312" w:eastAsia="楷体_GB2312" w:cs="Times New Roman"/>
          <w:b/>
          <w:i w:val="0"/>
          <w:iCs w:val="0"/>
          <w:caps w:val="0"/>
          <w:spacing w:val="0"/>
          <w:sz w:val="32"/>
          <w:szCs w:val="32"/>
          <w:highlight w:val="none"/>
          <w:shd w:val="clear" w:color="auto" w:fill="auto"/>
        </w:rPr>
        <w:t>第</w:t>
      </w:r>
      <w:r>
        <w:rPr>
          <w:rFonts w:hint="eastAsia" w:ascii="楷体_GB2312" w:hAnsi="仿宋_GB2312" w:eastAsia="楷体_GB2312" w:cs="Times New Roman"/>
          <w:b/>
          <w:i w:val="0"/>
          <w:iCs w:val="0"/>
          <w:caps w:val="0"/>
          <w:spacing w:val="0"/>
          <w:sz w:val="32"/>
          <w:szCs w:val="32"/>
          <w:highlight w:val="none"/>
          <w:shd w:val="clear" w:color="auto" w:fill="auto"/>
          <w:lang w:val="en-US" w:eastAsia="zh-CN"/>
        </w:rPr>
        <w:t>六</w:t>
      </w:r>
      <w:r>
        <w:rPr>
          <w:rFonts w:hint="eastAsia" w:ascii="楷体_GB2312" w:hAnsi="仿宋_GB2312" w:eastAsia="楷体_GB2312" w:cs="Times New Roman"/>
          <w:b/>
          <w:i w:val="0"/>
          <w:iCs w:val="0"/>
          <w:caps w:val="0"/>
          <w:spacing w:val="0"/>
          <w:sz w:val="32"/>
          <w:szCs w:val="32"/>
          <w:highlight w:val="none"/>
          <w:shd w:val="clear" w:color="auto" w:fill="auto"/>
        </w:rPr>
        <w:t>条</w:t>
      </w:r>
      <w:r>
        <w:rPr>
          <w:rFonts w:ascii="仿宋_GB2312" w:hAnsi="仿宋_GB2312" w:eastAsia="仿宋_GB2312" w:cs="Times New Roman"/>
          <w:b/>
          <w:sz w:val="32"/>
          <w:szCs w:val="32"/>
          <w:highlight w:val="none"/>
        </w:rPr>
        <w:t xml:space="preserve"> </w:t>
      </w:r>
      <w:r>
        <w:rPr>
          <w:rFonts w:hint="eastAsia" w:ascii="仿宋_GB2312" w:hAnsi="仿宋_GB2312" w:eastAsia="仿宋_GB2312"/>
          <w:b w:val="0"/>
          <w:color w:val="000000"/>
          <w:kern w:val="2"/>
          <w:sz w:val="32"/>
          <w:szCs w:val="32"/>
          <w:highlight w:val="none"/>
          <w:lang w:val="en-US" w:eastAsia="zh-CN"/>
        </w:rPr>
        <w:t>定点医药机构应按规定格式作出书面信用承诺。承诺内容应包括依法依规使用医保基金、自律管理、诚信服务、违背承诺自愿接受惩戒等内容。</w:t>
      </w:r>
    </w:p>
    <w:p>
      <w:pPr>
        <w:pStyle w:val="2"/>
        <w:numPr>
          <w:ilvl w:val="0"/>
          <w:numId w:val="0"/>
        </w:numPr>
        <w:ind w:firstLine="0" w:firstLineChars="0"/>
        <w:rPr>
          <w:rFonts w:hint="eastAsia" w:ascii="仿宋_GB2312" w:hAnsi="仿宋_GB2312" w:eastAsia="仿宋_GB2312"/>
          <w:b w:val="0"/>
          <w:color w:val="000000"/>
          <w:kern w:val="2"/>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600" w:lineRule="exact"/>
        <w:jc w:val="center"/>
        <w:rPr>
          <w:rFonts w:ascii="黑体" w:hAnsi="黑体" w:eastAsia="黑体" w:cs="黑体"/>
          <w:bCs/>
          <w:sz w:val="32"/>
          <w:szCs w:val="32"/>
          <w:highlight w:val="none"/>
        </w:rPr>
      </w:pPr>
      <w:r>
        <w:rPr>
          <w:rFonts w:hint="eastAsia" w:ascii="黑体" w:hAnsi="黑体" w:eastAsia="黑体" w:cs="黑体"/>
          <w:bCs/>
          <w:sz w:val="32"/>
          <w:szCs w:val="32"/>
          <w:highlight w:val="none"/>
        </w:rPr>
        <w:t>第二章</w:t>
      </w:r>
      <w:r>
        <w:rPr>
          <w:rFonts w:ascii="黑体" w:hAnsi="黑体" w:eastAsia="黑体" w:cs="黑体"/>
          <w:bCs/>
          <w:sz w:val="32"/>
          <w:szCs w:val="32"/>
          <w:highlight w:val="none"/>
        </w:rPr>
        <w:t xml:space="preserve">  </w:t>
      </w:r>
      <w:r>
        <w:rPr>
          <w:rFonts w:hint="eastAsia" w:ascii="黑体" w:hAnsi="黑体" w:eastAsia="黑体" w:cs="黑体"/>
          <w:bCs/>
          <w:sz w:val="32"/>
          <w:szCs w:val="32"/>
          <w:highlight w:val="none"/>
        </w:rPr>
        <w:t>信息采集</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center"/>
        <w:rPr>
          <w:rFonts w:hint="eastAsia" w:ascii="楷体_GB2312" w:hAnsi="仿宋_GB2312" w:eastAsia="楷体_GB2312"/>
          <w:b/>
          <w:sz w:val="32"/>
          <w:szCs w:val="32"/>
          <w:highlight w:val="none"/>
        </w:rPr>
      </w:pPr>
    </w:p>
    <w:p>
      <w:pPr>
        <w:spacing w:line="600" w:lineRule="exact"/>
        <w:ind w:firstLine="643" w:firstLineChars="200"/>
        <w:rPr>
          <w:rFonts w:hint="eastAsia" w:ascii="仿宋_GB2312" w:hAnsi="仿宋_GB2312" w:eastAsia="仿宋_GB2312"/>
          <w:b w:val="0"/>
          <w:color w:val="000000"/>
          <w:kern w:val="2"/>
          <w:sz w:val="32"/>
          <w:szCs w:val="32"/>
          <w:highlight w:val="none"/>
          <w:lang w:val="en-US" w:eastAsia="zh-CN"/>
        </w:rPr>
      </w:pPr>
      <w:r>
        <w:rPr>
          <w:rFonts w:hint="eastAsia" w:ascii="楷体_GB2312" w:hAnsi="仿宋_GB2312" w:eastAsia="楷体_GB2312" w:cs="Times New Roman"/>
          <w:b/>
          <w:color w:val="000000"/>
          <w:sz w:val="32"/>
          <w:szCs w:val="32"/>
          <w:highlight w:val="none"/>
        </w:rPr>
        <w:t>第</w:t>
      </w:r>
      <w:r>
        <w:rPr>
          <w:rFonts w:hint="eastAsia" w:ascii="楷体_GB2312" w:hAnsi="仿宋_GB2312" w:eastAsia="楷体_GB2312" w:cs="Times New Roman"/>
          <w:b/>
          <w:color w:val="000000"/>
          <w:sz w:val="32"/>
          <w:szCs w:val="32"/>
          <w:highlight w:val="none"/>
          <w:lang w:val="en-US" w:eastAsia="zh-CN"/>
        </w:rPr>
        <w:t>七</w:t>
      </w:r>
      <w:r>
        <w:rPr>
          <w:rFonts w:hint="eastAsia" w:ascii="楷体_GB2312" w:hAnsi="仿宋_GB2312" w:eastAsia="楷体_GB2312" w:cs="Times New Roman"/>
          <w:b/>
          <w:color w:val="000000"/>
          <w:sz w:val="32"/>
          <w:szCs w:val="32"/>
          <w:highlight w:val="none"/>
        </w:rPr>
        <w:t xml:space="preserve">条 </w:t>
      </w:r>
      <w:r>
        <w:rPr>
          <w:rFonts w:hint="eastAsia" w:ascii="仿宋_GB2312" w:hAnsi="仿宋_GB2312" w:eastAsia="仿宋_GB2312" w:cs="Times New Roman"/>
          <w:sz w:val="32"/>
          <w:szCs w:val="32"/>
          <w:highlight w:val="none"/>
          <w:lang w:val="en-US" w:eastAsia="zh-CN"/>
        </w:rPr>
        <w:t>各级医疗保障部门</w:t>
      </w:r>
      <w:r>
        <w:rPr>
          <w:rFonts w:hint="eastAsia" w:ascii="仿宋_GB2312" w:hAnsi="仿宋_GB2312" w:eastAsia="仿宋_GB2312"/>
          <w:sz w:val="32"/>
          <w:szCs w:val="32"/>
          <w:highlight w:val="none"/>
        </w:rPr>
        <w:t>应依法依规采集、</w:t>
      </w:r>
      <w:r>
        <w:rPr>
          <w:rFonts w:hint="eastAsia" w:ascii="仿宋_GB2312" w:hAnsi="仿宋_GB2312" w:eastAsia="仿宋_GB2312" w:cs="仿宋_GB2312"/>
          <w:sz w:val="32"/>
          <w:szCs w:val="32"/>
          <w:highlight w:val="none"/>
        </w:rPr>
        <w:t>共享和管理</w:t>
      </w:r>
      <w:r>
        <w:rPr>
          <w:rFonts w:hint="eastAsia" w:ascii="仿宋_GB2312" w:hAnsi="仿宋_GB2312" w:eastAsia="仿宋_GB2312"/>
          <w:sz w:val="32"/>
          <w:szCs w:val="32"/>
          <w:highlight w:val="none"/>
          <w:lang w:eastAsia="zh-CN"/>
        </w:rPr>
        <w:t>定点医药机构</w:t>
      </w:r>
      <w:r>
        <w:rPr>
          <w:rFonts w:hint="eastAsia" w:ascii="仿宋_GB2312" w:hAnsi="仿宋_GB2312" w:eastAsia="仿宋_GB2312"/>
          <w:sz w:val="32"/>
          <w:szCs w:val="32"/>
          <w:highlight w:val="none"/>
        </w:rPr>
        <w:t>医保</w:t>
      </w:r>
      <w:r>
        <w:rPr>
          <w:rFonts w:hint="eastAsia" w:ascii="仿宋_GB2312" w:hAnsi="仿宋_GB2312" w:eastAsia="仿宋_GB2312"/>
          <w:sz w:val="32"/>
          <w:szCs w:val="32"/>
          <w:highlight w:val="none"/>
          <w:lang w:eastAsia="zh-CN"/>
        </w:rPr>
        <w:t>信用</w:t>
      </w:r>
      <w:r>
        <w:rPr>
          <w:rFonts w:hint="eastAsia" w:ascii="仿宋_GB2312" w:hAnsi="仿宋_GB2312" w:eastAsia="仿宋_GB2312"/>
          <w:b w:val="0"/>
          <w:color w:val="000000"/>
          <w:kern w:val="2"/>
          <w:sz w:val="32"/>
          <w:szCs w:val="32"/>
          <w:highlight w:val="none"/>
          <w:lang w:val="en-US" w:eastAsia="zh-CN"/>
        </w:rPr>
        <w:t>信息，积极推进跨部门、跨行业、跨区域信用信息的互联互通和交换共享。</w:t>
      </w:r>
    </w:p>
    <w:p>
      <w:pPr>
        <w:keepNext w:val="0"/>
        <w:keepLines w:val="0"/>
        <w:pageBreakBefore w:val="0"/>
        <w:kinsoku/>
        <w:wordWrap/>
        <w:overflowPunct/>
        <w:topLinePunct w:val="0"/>
        <w:autoSpaceDE/>
        <w:autoSpaceDN/>
        <w:bidi w:val="0"/>
        <w:adjustRightInd/>
        <w:snapToGrid/>
        <w:spacing w:line="600" w:lineRule="exact"/>
        <w:ind w:firstLine="643" w:firstLineChars="200"/>
        <w:rPr>
          <w:rStyle w:val="8"/>
          <w:rFonts w:hint="default"/>
          <w:highlight w:val="none"/>
        </w:rPr>
      </w:pPr>
      <w:r>
        <w:rPr>
          <w:rFonts w:hint="eastAsia" w:ascii="楷体_GB2312" w:hAnsi="仿宋_GB2312" w:eastAsia="楷体_GB2312"/>
          <w:b/>
          <w:color w:val="000000"/>
          <w:sz w:val="32"/>
          <w:szCs w:val="32"/>
          <w:highlight w:val="none"/>
        </w:rPr>
        <w:t>第</w:t>
      </w:r>
      <w:r>
        <w:rPr>
          <w:rFonts w:hint="eastAsia" w:ascii="楷体_GB2312" w:hAnsi="仿宋_GB2312" w:eastAsia="楷体_GB2312"/>
          <w:b/>
          <w:color w:val="000000"/>
          <w:sz w:val="32"/>
          <w:szCs w:val="32"/>
          <w:highlight w:val="none"/>
          <w:lang w:val="en-US" w:eastAsia="zh-CN"/>
        </w:rPr>
        <w:t>八</w:t>
      </w:r>
      <w:r>
        <w:rPr>
          <w:rFonts w:hint="eastAsia" w:ascii="楷体_GB2312" w:hAnsi="仿宋_GB2312" w:eastAsia="楷体_GB2312"/>
          <w:b/>
          <w:sz w:val="32"/>
          <w:szCs w:val="32"/>
          <w:highlight w:val="none"/>
        </w:rPr>
        <w:t>条</w:t>
      </w:r>
      <w:r>
        <w:rPr>
          <w:rFonts w:ascii="仿宋_GB2312" w:hAnsi="仿宋_GB2312" w:eastAsia="仿宋_GB2312"/>
          <w:b/>
          <w:sz w:val="32"/>
          <w:szCs w:val="32"/>
          <w:highlight w:val="none"/>
        </w:rPr>
        <w:t xml:space="preserve"> </w:t>
      </w:r>
      <w:r>
        <w:rPr>
          <w:rStyle w:val="8"/>
          <w:rFonts w:hint="eastAsia" w:cs="Times New Roman"/>
          <w:highlight w:val="none"/>
          <w:lang w:val="en-US" w:eastAsia="zh-CN"/>
        </w:rPr>
        <w:t>医保</w:t>
      </w:r>
      <w:r>
        <w:rPr>
          <w:rStyle w:val="8"/>
          <w:rFonts w:hint="eastAsia" w:eastAsia="仿宋_GB2312"/>
          <w:highlight w:val="none"/>
          <w:lang w:eastAsia="zh-CN"/>
        </w:rPr>
        <w:t>信用信息</w:t>
      </w:r>
      <w:r>
        <w:rPr>
          <w:rStyle w:val="8"/>
          <w:rFonts w:hint="default"/>
          <w:highlight w:val="none"/>
        </w:rPr>
        <w:t>主要来源于医保业务平台、医保智能</w:t>
      </w:r>
      <w:r>
        <w:rPr>
          <w:rStyle w:val="8"/>
          <w:rFonts w:hint="eastAsia" w:eastAsia="仿宋_GB2312"/>
          <w:highlight w:val="none"/>
          <w:lang w:eastAsia="zh-CN"/>
        </w:rPr>
        <w:t>监控</w:t>
      </w:r>
      <w:r>
        <w:rPr>
          <w:rStyle w:val="8"/>
          <w:rFonts w:hint="default"/>
          <w:highlight w:val="none"/>
        </w:rPr>
        <w:t>系统、医保基金监管及日常</w:t>
      </w:r>
      <w:r>
        <w:rPr>
          <w:rStyle w:val="8"/>
          <w:rFonts w:hint="eastAsia" w:eastAsia="仿宋_GB2312"/>
          <w:highlight w:val="none"/>
          <w:lang w:eastAsia="zh-CN"/>
        </w:rPr>
        <w:t>审核</w:t>
      </w:r>
      <w:r>
        <w:rPr>
          <w:rStyle w:val="8"/>
          <w:rFonts w:hint="default"/>
          <w:highlight w:val="none"/>
        </w:rPr>
        <w:t>稽核、政务大数据平台、公共</w:t>
      </w:r>
      <w:r>
        <w:rPr>
          <w:rStyle w:val="8"/>
          <w:rFonts w:hint="eastAsia" w:eastAsia="仿宋_GB2312"/>
          <w:highlight w:val="none"/>
          <w:lang w:eastAsia="zh-CN"/>
        </w:rPr>
        <w:t>信用信息</w:t>
      </w:r>
      <w:r>
        <w:rPr>
          <w:rStyle w:val="8"/>
          <w:rFonts w:hint="default"/>
          <w:highlight w:val="none"/>
        </w:rPr>
        <w:t>平台等。</w:t>
      </w:r>
    </w:p>
    <w:p>
      <w:pPr>
        <w:keepNext w:val="0"/>
        <w:keepLines w:val="0"/>
        <w:pageBreakBefore w:val="0"/>
        <w:kinsoku/>
        <w:wordWrap/>
        <w:overflowPunct/>
        <w:topLinePunct w:val="0"/>
        <w:autoSpaceDE/>
        <w:autoSpaceDN/>
        <w:bidi w:val="0"/>
        <w:adjustRightInd/>
        <w:snapToGrid/>
        <w:spacing w:line="600" w:lineRule="exact"/>
        <w:ind w:firstLine="643" w:firstLineChars="200"/>
        <w:rPr>
          <w:rStyle w:val="8"/>
          <w:rFonts w:hint="default" w:hAnsi="仿宋"/>
          <w:highlight w:val="none"/>
        </w:rPr>
      </w:pPr>
      <w:r>
        <w:rPr>
          <w:rFonts w:hint="eastAsia" w:ascii="楷体_GB2312" w:hAnsi="仿宋_GB2312" w:eastAsia="楷体_GB2312"/>
          <w:b/>
          <w:sz w:val="32"/>
          <w:szCs w:val="32"/>
          <w:highlight w:val="none"/>
        </w:rPr>
        <w:t>第</w:t>
      </w:r>
      <w:r>
        <w:rPr>
          <w:rFonts w:hint="eastAsia" w:ascii="楷体_GB2312" w:hAnsi="仿宋_GB2312" w:eastAsia="楷体_GB2312"/>
          <w:b/>
          <w:sz w:val="32"/>
          <w:szCs w:val="32"/>
          <w:highlight w:val="none"/>
          <w:lang w:val="en-US" w:eastAsia="zh-CN"/>
        </w:rPr>
        <w:t>九</w:t>
      </w:r>
      <w:r>
        <w:rPr>
          <w:rFonts w:hint="eastAsia" w:ascii="楷体_GB2312" w:hAnsi="仿宋_GB2312" w:eastAsia="楷体_GB2312"/>
          <w:b/>
          <w:sz w:val="32"/>
          <w:szCs w:val="32"/>
          <w:highlight w:val="none"/>
        </w:rPr>
        <w:t>条</w:t>
      </w:r>
      <w:r>
        <w:rPr>
          <w:rFonts w:hint="eastAsia" w:ascii="仿宋_GB2312" w:hAnsi="仿宋_GB2312" w:eastAsia="仿宋_GB2312"/>
          <w:b/>
          <w:sz w:val="32"/>
          <w:szCs w:val="32"/>
          <w:highlight w:val="none"/>
        </w:rPr>
        <w:t xml:space="preserve"> </w:t>
      </w:r>
      <w:r>
        <w:rPr>
          <w:rFonts w:hint="eastAsia" w:ascii="仿宋_GB2312" w:hAnsi="仿宋_GB2312" w:eastAsia="仿宋_GB2312"/>
          <w:sz w:val="32"/>
          <w:szCs w:val="32"/>
          <w:highlight w:val="none"/>
        </w:rPr>
        <w:t>建立</w:t>
      </w:r>
      <w:r>
        <w:rPr>
          <w:rFonts w:hint="eastAsia" w:ascii="仿宋_GB2312" w:hAnsi="仿宋_GB2312" w:eastAsia="仿宋_GB2312"/>
          <w:sz w:val="32"/>
          <w:szCs w:val="32"/>
          <w:highlight w:val="none"/>
          <w:lang w:val="en-US" w:eastAsia="zh-CN"/>
        </w:rPr>
        <w:t>健</w:t>
      </w:r>
      <w:r>
        <w:rPr>
          <w:rStyle w:val="8"/>
          <w:rFonts w:hint="eastAsia" w:hAnsi="仿宋"/>
          <w:highlight w:val="none"/>
          <w:lang w:val="en-US" w:eastAsia="zh-CN"/>
        </w:rPr>
        <w:t>全</w:t>
      </w:r>
      <w:r>
        <w:rPr>
          <w:rStyle w:val="8"/>
          <w:rFonts w:hint="eastAsia" w:hAnsi="仿宋"/>
          <w:highlight w:val="none"/>
          <w:lang w:eastAsia="zh-CN"/>
        </w:rPr>
        <w:t>定点医药机构</w:t>
      </w:r>
      <w:r>
        <w:rPr>
          <w:rStyle w:val="8"/>
          <w:rFonts w:hint="default" w:hAnsi="仿宋"/>
          <w:highlight w:val="none"/>
        </w:rPr>
        <w:t>医保</w:t>
      </w:r>
      <w:r>
        <w:rPr>
          <w:rStyle w:val="8"/>
          <w:rFonts w:hint="eastAsia" w:hAnsi="仿宋"/>
          <w:highlight w:val="none"/>
          <w:lang w:eastAsia="zh-CN"/>
        </w:rPr>
        <w:t>信用信息</w:t>
      </w:r>
      <w:r>
        <w:rPr>
          <w:rStyle w:val="8"/>
          <w:rFonts w:hint="default" w:hAnsi="仿宋"/>
          <w:highlight w:val="none"/>
        </w:rPr>
        <w:t>数据库，及时、准确记录</w:t>
      </w:r>
      <w:r>
        <w:rPr>
          <w:rStyle w:val="8"/>
          <w:rFonts w:hint="eastAsia" w:hAnsi="仿宋" w:eastAsia="仿宋_GB2312"/>
          <w:highlight w:val="none"/>
          <w:lang w:eastAsia="zh-CN"/>
        </w:rPr>
        <w:t>定点医药机构</w:t>
      </w:r>
      <w:r>
        <w:rPr>
          <w:rStyle w:val="8"/>
          <w:rFonts w:hint="default" w:hAnsi="仿宋"/>
          <w:highlight w:val="none"/>
        </w:rPr>
        <w:t>的信用行为并实现动态更新，做到可查可核可溯。</w:t>
      </w:r>
    </w:p>
    <w:p>
      <w:pPr>
        <w:keepNext w:val="0"/>
        <w:keepLines w:val="0"/>
        <w:pageBreakBefore w:val="0"/>
        <w:kinsoku/>
        <w:wordWrap/>
        <w:overflowPunct/>
        <w:topLinePunct w:val="0"/>
        <w:autoSpaceDE/>
        <w:autoSpaceDN/>
        <w:bidi w:val="0"/>
        <w:adjustRightInd/>
        <w:snapToGrid/>
        <w:spacing w:line="600" w:lineRule="exact"/>
        <w:ind w:firstLine="643" w:firstLineChars="200"/>
        <w:rPr>
          <w:rStyle w:val="8"/>
          <w:rFonts w:hint="default" w:hAnsi="仿宋"/>
          <w:highlight w:val="none"/>
        </w:rPr>
      </w:pPr>
      <w:r>
        <w:rPr>
          <w:rFonts w:hint="eastAsia" w:ascii="楷体_GB2312" w:hAnsi="仿宋_GB2312" w:eastAsia="楷体_GB2312"/>
          <w:b/>
          <w:color w:val="000000"/>
          <w:sz w:val="32"/>
          <w:szCs w:val="32"/>
          <w:highlight w:val="none"/>
        </w:rPr>
        <w:t>第</w:t>
      </w:r>
      <w:r>
        <w:rPr>
          <w:rFonts w:hint="eastAsia" w:ascii="楷体_GB2312" w:hAnsi="仿宋_GB2312" w:eastAsia="楷体_GB2312"/>
          <w:b/>
          <w:color w:val="000000"/>
          <w:sz w:val="32"/>
          <w:szCs w:val="32"/>
          <w:highlight w:val="none"/>
          <w:lang w:val="en-US" w:eastAsia="zh-CN"/>
        </w:rPr>
        <w:t>十</w:t>
      </w:r>
      <w:r>
        <w:rPr>
          <w:rFonts w:hint="eastAsia" w:ascii="楷体_GB2312" w:hAnsi="仿宋_GB2312" w:eastAsia="楷体_GB2312"/>
          <w:b/>
          <w:sz w:val="32"/>
          <w:szCs w:val="32"/>
          <w:highlight w:val="none"/>
        </w:rPr>
        <w:t>条</w:t>
      </w:r>
      <w:r>
        <w:rPr>
          <w:rFonts w:hint="eastAsia" w:ascii="仿宋_GB2312" w:hAnsi="仿宋_GB2312" w:eastAsia="仿宋_GB2312"/>
          <w:b/>
          <w:sz w:val="32"/>
          <w:szCs w:val="32"/>
          <w:highlight w:val="none"/>
        </w:rPr>
        <w:t xml:space="preserve"> </w:t>
      </w:r>
      <w:r>
        <w:rPr>
          <w:rStyle w:val="8"/>
          <w:rFonts w:hint="default" w:hAnsi="仿宋"/>
          <w:highlight w:val="none"/>
        </w:rPr>
        <w:t>医保</w:t>
      </w:r>
      <w:r>
        <w:rPr>
          <w:rStyle w:val="8"/>
          <w:rFonts w:hint="eastAsia" w:hAnsi="仿宋" w:eastAsia="仿宋_GB2312"/>
          <w:highlight w:val="none"/>
          <w:lang w:eastAsia="zh-CN"/>
        </w:rPr>
        <w:t>信用信息</w:t>
      </w:r>
      <w:r>
        <w:rPr>
          <w:rStyle w:val="8"/>
          <w:rFonts w:hint="default" w:hAnsi="仿宋"/>
          <w:highlight w:val="none"/>
        </w:rPr>
        <w:t>数据库</w:t>
      </w:r>
      <w:r>
        <w:rPr>
          <w:rFonts w:hint="eastAsia" w:ascii="仿宋_GB2312" w:hAnsi="仿宋_GB2312" w:eastAsia="仿宋_GB2312"/>
          <w:sz w:val="32"/>
          <w:szCs w:val="32"/>
          <w:highlight w:val="none"/>
          <w:lang w:val="en-US" w:eastAsia="zh-CN"/>
        </w:rPr>
        <w:t>应</w:t>
      </w:r>
      <w:r>
        <w:rPr>
          <w:rFonts w:hint="eastAsia" w:ascii="仿宋_GB2312" w:hAnsi="仿宋_GB2312" w:eastAsia="仿宋_GB2312"/>
          <w:sz w:val="32"/>
          <w:szCs w:val="32"/>
          <w:highlight w:val="none"/>
        </w:rPr>
        <w:t>包括基础信息、</w:t>
      </w:r>
      <w:r>
        <w:rPr>
          <w:rFonts w:hint="default" w:ascii="仿宋_GB2312" w:hAnsi="仿宋_GB2312" w:eastAsia="仿宋_GB2312"/>
          <w:sz w:val="32"/>
          <w:szCs w:val="32"/>
          <w:highlight w:val="none"/>
          <w:lang w:val="en-US"/>
        </w:rPr>
        <w:t>良好</w:t>
      </w:r>
      <w:r>
        <w:rPr>
          <w:rFonts w:ascii="仿宋_GB2312" w:hAnsi="仿宋_GB2312" w:eastAsia="仿宋_GB2312"/>
          <w:sz w:val="32"/>
          <w:szCs w:val="32"/>
          <w:highlight w:val="none"/>
        </w:rPr>
        <w:t>信息</w:t>
      </w: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val="en-US" w:eastAsia="zh-CN"/>
        </w:rPr>
        <w:t>失信</w:t>
      </w:r>
      <w:r>
        <w:rPr>
          <w:rFonts w:ascii="仿宋_GB2312" w:hAnsi="仿宋_GB2312" w:eastAsia="仿宋_GB2312"/>
          <w:sz w:val="32"/>
          <w:szCs w:val="32"/>
          <w:highlight w:val="none"/>
        </w:rPr>
        <w:t>信</w:t>
      </w:r>
      <w:r>
        <w:rPr>
          <w:rFonts w:hint="eastAsia" w:ascii="仿宋_GB2312" w:hAnsi="仿宋_GB2312" w:eastAsia="仿宋_GB2312"/>
          <w:sz w:val="32"/>
          <w:szCs w:val="32"/>
          <w:highlight w:val="none"/>
        </w:rPr>
        <w:t>息</w:t>
      </w:r>
      <w:r>
        <w:rPr>
          <w:rFonts w:ascii="仿宋_GB2312" w:hAnsi="仿宋_GB2312" w:eastAsia="仿宋_GB2312"/>
          <w:sz w:val="32"/>
          <w:szCs w:val="32"/>
          <w:highlight w:val="none"/>
        </w:rPr>
        <w:t>和其他信息。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sz w:val="32"/>
          <w:szCs w:val="32"/>
          <w:highlight w:val="none"/>
          <w:u w:val="none"/>
          <w:lang w:eastAsia="zh-CN"/>
        </w:rPr>
      </w:pPr>
      <w:r>
        <w:rPr>
          <w:rFonts w:hint="eastAsia" w:ascii="仿宋_GB2312" w:hAnsi="仿宋_GB2312" w:eastAsia="仿宋_GB2312"/>
          <w:sz w:val="32"/>
          <w:szCs w:val="32"/>
          <w:highlight w:val="none"/>
        </w:rPr>
        <w:t>（一）基础信息。包括</w:t>
      </w:r>
      <w:r>
        <w:rPr>
          <w:rFonts w:hint="eastAsia" w:ascii="仿宋_GB2312" w:hAnsi="仿宋_GB2312" w:eastAsia="仿宋_GB2312"/>
          <w:sz w:val="32"/>
          <w:szCs w:val="32"/>
          <w:highlight w:val="none"/>
          <w:lang w:eastAsia="zh-CN"/>
        </w:rPr>
        <w:t>定点医药机构</w:t>
      </w:r>
      <w:r>
        <w:rPr>
          <w:rFonts w:hint="eastAsia" w:ascii="仿宋_GB2312" w:hAnsi="仿宋_GB2312" w:eastAsia="仿宋_GB2312"/>
          <w:sz w:val="32"/>
          <w:szCs w:val="32"/>
          <w:highlight w:val="none"/>
          <w:lang w:val="en-US" w:eastAsia="zh-CN"/>
        </w:rPr>
        <w:t>登记</w:t>
      </w:r>
      <w:r>
        <w:rPr>
          <w:rFonts w:hint="eastAsia" w:ascii="仿宋_GB2312" w:hAnsi="仿宋_GB2312" w:eastAsia="仿宋_GB2312"/>
          <w:sz w:val="32"/>
          <w:szCs w:val="32"/>
          <w:highlight w:val="none"/>
        </w:rPr>
        <w:t>名称、统一社会信用代码</w:t>
      </w:r>
      <w:r>
        <w:rPr>
          <w:rFonts w:hint="eastAsia" w:ascii="仿宋_GB2312" w:hAnsi="仿宋_GB2312" w:eastAsia="仿宋_GB2312"/>
          <w:sz w:val="32"/>
          <w:szCs w:val="32"/>
          <w:highlight w:val="none"/>
          <w:lang w:eastAsia="zh-CN"/>
        </w:rPr>
        <w:t>、医保编码，</w:t>
      </w:r>
      <w:r>
        <w:rPr>
          <w:rFonts w:hint="eastAsia" w:ascii="仿宋_GB2312" w:hAnsi="仿宋_GB2312" w:eastAsia="仿宋_GB2312"/>
          <w:sz w:val="32"/>
          <w:szCs w:val="32"/>
          <w:highlight w:val="none"/>
        </w:rPr>
        <w:t>法定代表人</w:t>
      </w:r>
      <w:r>
        <w:rPr>
          <w:rFonts w:hint="eastAsia" w:ascii="仿宋_GB2312" w:hAnsi="仿宋_GB2312" w:eastAsia="仿宋_GB2312"/>
          <w:sz w:val="32"/>
          <w:szCs w:val="32"/>
          <w:highlight w:val="none"/>
          <w:u w:val="none"/>
        </w:rPr>
        <w:t>的姓名、证件类型、证件号码</w:t>
      </w:r>
      <w:r>
        <w:rPr>
          <w:rStyle w:val="8"/>
          <w:rFonts w:hint="default"/>
          <w:highlight w:val="none"/>
        </w:rPr>
        <w:t>，</w:t>
      </w:r>
      <w:r>
        <w:rPr>
          <w:rStyle w:val="8"/>
          <w:rFonts w:hint="eastAsia" w:eastAsia="仿宋_GB2312"/>
          <w:highlight w:val="none"/>
          <w:lang w:eastAsia="zh-CN"/>
        </w:rPr>
        <w:t>定点医药机构</w:t>
      </w:r>
      <w:r>
        <w:rPr>
          <w:rStyle w:val="8"/>
          <w:rFonts w:hint="default"/>
          <w:highlight w:val="none"/>
        </w:rPr>
        <w:t>信用承诺</w:t>
      </w:r>
      <w:r>
        <w:rPr>
          <w:rFonts w:hint="eastAsia" w:ascii="仿宋_GB2312" w:hAnsi="仿宋_GB2312" w:eastAsia="仿宋_GB2312"/>
          <w:sz w:val="32"/>
          <w:szCs w:val="32"/>
          <w:highlight w:val="none"/>
          <w:u w:val="none"/>
        </w:rPr>
        <w:t>等。</w:t>
      </w:r>
    </w:p>
    <w:p>
      <w:pPr>
        <w:keepNext w:val="0"/>
        <w:keepLines w:val="0"/>
        <w:pageBreakBefore w:val="0"/>
        <w:kinsoku/>
        <w:wordWrap/>
        <w:overflowPunct/>
        <w:topLinePunct w:val="0"/>
        <w:autoSpaceDE/>
        <w:autoSpaceDN/>
        <w:bidi w:val="0"/>
        <w:adjustRightInd/>
        <w:snapToGrid/>
        <w:spacing w:line="600" w:lineRule="exact"/>
        <w:ind w:firstLine="640" w:firstLineChars="200"/>
        <w:rPr>
          <w:rStyle w:val="8"/>
          <w:rFonts w:hint="default"/>
          <w:highlight w:val="none"/>
        </w:rPr>
      </w:pPr>
      <w:r>
        <w:rPr>
          <w:rStyle w:val="8"/>
          <w:rFonts w:hint="default"/>
          <w:highlight w:val="none"/>
        </w:rPr>
        <w:t>（二）</w:t>
      </w:r>
      <w:r>
        <w:rPr>
          <w:rStyle w:val="8"/>
          <w:rFonts w:hint="default"/>
          <w:highlight w:val="none"/>
          <w:lang w:val="en-US"/>
        </w:rPr>
        <w:t>良好</w:t>
      </w:r>
      <w:r>
        <w:rPr>
          <w:rStyle w:val="8"/>
          <w:rFonts w:hint="default"/>
          <w:highlight w:val="none"/>
        </w:rPr>
        <w:t>信息。包括政府部门对</w:t>
      </w:r>
      <w:r>
        <w:rPr>
          <w:rStyle w:val="8"/>
          <w:rFonts w:hint="eastAsia" w:eastAsia="仿宋_GB2312"/>
          <w:highlight w:val="none"/>
          <w:lang w:eastAsia="zh-CN"/>
        </w:rPr>
        <w:t>定点医药机构</w:t>
      </w:r>
      <w:r>
        <w:rPr>
          <w:rStyle w:val="8"/>
          <w:rFonts w:hint="default"/>
          <w:highlight w:val="none"/>
        </w:rPr>
        <w:t>的表彰、奖励、通报表扬等。</w:t>
      </w:r>
    </w:p>
    <w:p>
      <w:pPr>
        <w:keepNext w:val="0"/>
        <w:keepLines w:val="0"/>
        <w:pageBreakBefore w:val="0"/>
        <w:kinsoku/>
        <w:wordWrap/>
        <w:overflowPunct/>
        <w:topLinePunct w:val="0"/>
        <w:autoSpaceDE/>
        <w:autoSpaceDN/>
        <w:bidi w:val="0"/>
        <w:adjustRightInd/>
        <w:snapToGrid/>
        <w:spacing w:line="600" w:lineRule="exact"/>
        <w:ind w:firstLine="640" w:firstLineChars="200"/>
        <w:rPr>
          <w:rStyle w:val="8"/>
          <w:rFonts w:hint="default"/>
          <w:highlight w:val="none"/>
        </w:rPr>
      </w:pPr>
      <w:r>
        <w:rPr>
          <w:rStyle w:val="8"/>
          <w:rFonts w:hint="default"/>
          <w:highlight w:val="none"/>
        </w:rPr>
        <w:t>（三）</w:t>
      </w:r>
      <w:r>
        <w:rPr>
          <w:rStyle w:val="8"/>
          <w:rFonts w:hint="eastAsia" w:eastAsia="仿宋_GB2312"/>
          <w:highlight w:val="none"/>
          <w:lang w:val="en-US" w:eastAsia="zh-CN"/>
        </w:rPr>
        <w:t>失信</w:t>
      </w:r>
      <w:r>
        <w:rPr>
          <w:rStyle w:val="8"/>
          <w:rFonts w:hint="default"/>
          <w:highlight w:val="none"/>
        </w:rPr>
        <w:t>信息。包括</w:t>
      </w:r>
      <w:r>
        <w:rPr>
          <w:rStyle w:val="8"/>
          <w:rFonts w:hint="eastAsia" w:eastAsia="仿宋_GB2312"/>
          <w:highlight w:val="none"/>
          <w:lang w:eastAsia="zh-CN"/>
        </w:rPr>
        <w:t>定点医药机构</w:t>
      </w:r>
      <w:r>
        <w:rPr>
          <w:rStyle w:val="8"/>
          <w:rFonts w:hint="default"/>
          <w:highlight w:val="none"/>
        </w:rPr>
        <w:t>在医疗保障领域违反有关法律、法规、规章制度或服务协议的</w:t>
      </w:r>
      <w:r>
        <w:rPr>
          <w:rStyle w:val="8"/>
          <w:rFonts w:hint="eastAsia" w:eastAsia="仿宋_GB2312"/>
          <w:highlight w:val="none"/>
          <w:lang w:val="en-US" w:eastAsia="zh-CN"/>
        </w:rPr>
        <w:t>失信</w:t>
      </w:r>
      <w:r>
        <w:rPr>
          <w:rStyle w:val="8"/>
          <w:rFonts w:hint="default"/>
          <w:highlight w:val="none"/>
        </w:rPr>
        <w:t>信息，受到县级以上医疗保障部门处理的相关信息，以及经有关部门认定的其他</w:t>
      </w:r>
      <w:r>
        <w:rPr>
          <w:rStyle w:val="8"/>
          <w:rFonts w:hint="eastAsia" w:eastAsia="仿宋_GB2312"/>
          <w:highlight w:val="none"/>
          <w:lang w:val="en-US" w:eastAsia="zh-CN"/>
        </w:rPr>
        <w:t>失信</w:t>
      </w:r>
      <w:r>
        <w:rPr>
          <w:rStyle w:val="8"/>
          <w:rFonts w:hint="default"/>
          <w:highlight w:val="none"/>
        </w:rPr>
        <w:t>信息。</w:t>
      </w:r>
    </w:p>
    <w:p>
      <w:pPr>
        <w:keepNext w:val="0"/>
        <w:keepLines w:val="0"/>
        <w:pageBreakBefore w:val="0"/>
        <w:kinsoku/>
        <w:wordWrap/>
        <w:overflowPunct/>
        <w:topLinePunct w:val="0"/>
        <w:autoSpaceDE/>
        <w:autoSpaceDN/>
        <w:bidi w:val="0"/>
        <w:adjustRightInd/>
        <w:snapToGrid/>
        <w:spacing w:line="600" w:lineRule="exact"/>
        <w:ind w:firstLine="624" w:firstLineChars="200"/>
        <w:rPr>
          <w:rStyle w:val="8"/>
          <w:rFonts w:hint="default"/>
          <w:spacing w:val="-4"/>
          <w:highlight w:val="none"/>
        </w:rPr>
      </w:pPr>
      <w:r>
        <w:rPr>
          <w:rStyle w:val="8"/>
          <w:rFonts w:hint="default"/>
          <w:spacing w:val="-4"/>
          <w:highlight w:val="none"/>
        </w:rPr>
        <w:t>（四）其他信息。包括舆情信息、异议处理、信用修复等。</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rPr>
          <w:rFonts w:hint="eastAsia" w:ascii="黑体" w:hAnsi="黑体" w:eastAsia="黑体" w:cs="黑体"/>
          <w:kern w:val="0"/>
          <w:sz w:val="32"/>
          <w:szCs w:val="32"/>
          <w:highlight w:val="none"/>
        </w:rPr>
      </w:pPr>
      <w:r>
        <w:rPr>
          <w:rFonts w:hint="eastAsia" w:ascii="仿宋_GB2312" w:hAnsi="仿宋_GB2312" w:eastAsia="仿宋_GB2312"/>
          <w:b/>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仿宋_GB2312" w:hAnsi="黑体" w:eastAsia="黑体" w:cs="黑体"/>
          <w:kern w:val="0"/>
          <w:sz w:val="30"/>
          <w:szCs w:val="30"/>
          <w:highlight w:val="none"/>
          <w:lang w:eastAsia="zh-CN"/>
        </w:rPr>
      </w:pPr>
      <w:r>
        <w:rPr>
          <w:rFonts w:hint="eastAsia" w:ascii="黑体" w:hAnsi="黑体" w:eastAsia="黑体" w:cs="黑体"/>
          <w:kern w:val="0"/>
          <w:sz w:val="32"/>
          <w:szCs w:val="32"/>
          <w:highlight w:val="none"/>
        </w:rPr>
        <w:t>第</w:t>
      </w:r>
      <w:r>
        <w:rPr>
          <w:rFonts w:hint="eastAsia" w:ascii="黑体" w:hAnsi="黑体" w:eastAsia="黑体" w:cs="黑体"/>
          <w:kern w:val="0"/>
          <w:sz w:val="32"/>
          <w:szCs w:val="32"/>
          <w:highlight w:val="none"/>
          <w:lang w:eastAsia="zh-CN"/>
        </w:rPr>
        <w:t>三</w:t>
      </w:r>
      <w:r>
        <w:rPr>
          <w:rFonts w:hint="eastAsia" w:ascii="黑体" w:hAnsi="黑体" w:eastAsia="黑体" w:cs="黑体"/>
          <w:kern w:val="0"/>
          <w:sz w:val="32"/>
          <w:szCs w:val="32"/>
          <w:highlight w:val="none"/>
        </w:rPr>
        <w:t>章　信用评</w:t>
      </w:r>
      <w:r>
        <w:rPr>
          <w:rFonts w:hint="eastAsia" w:ascii="黑体" w:hAnsi="黑体" w:eastAsia="黑体" w:cs="黑体"/>
          <w:kern w:val="0"/>
          <w:sz w:val="32"/>
          <w:szCs w:val="32"/>
          <w:highlight w:val="none"/>
          <w:lang w:val="en-US" w:eastAsia="zh-CN"/>
        </w:rPr>
        <w:t>级</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楷体_GB2312" w:hAnsi="仿宋_GB2312" w:eastAsia="楷体_GB2312" w:cs="Times New Roman"/>
          <w:b/>
          <w:color w:val="000000"/>
          <w:sz w:val="32"/>
          <w:szCs w:val="32"/>
          <w:highlight w:val="none"/>
        </w:rPr>
      </w:pP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bidi="ar"/>
        </w:rPr>
      </w:pPr>
      <w:r>
        <w:rPr>
          <w:rFonts w:hint="eastAsia" w:ascii="楷体_GB2312" w:hAnsi="仿宋_GB2312" w:eastAsia="楷体_GB2312" w:cs="Times New Roman"/>
          <w:b/>
          <w:color w:val="000000"/>
          <w:sz w:val="32"/>
          <w:szCs w:val="32"/>
          <w:highlight w:val="none"/>
        </w:rPr>
        <w:t>第</w:t>
      </w:r>
      <w:r>
        <w:rPr>
          <w:rFonts w:hint="eastAsia" w:ascii="楷体_GB2312" w:hAnsi="仿宋_GB2312" w:eastAsia="楷体_GB2312" w:cs="Times New Roman"/>
          <w:b/>
          <w:color w:val="000000"/>
          <w:sz w:val="32"/>
          <w:szCs w:val="32"/>
          <w:highlight w:val="none"/>
          <w:lang w:eastAsia="zh-CN"/>
        </w:rPr>
        <w:t>十</w:t>
      </w:r>
      <w:r>
        <w:rPr>
          <w:rFonts w:hint="eastAsia" w:ascii="楷体_GB2312" w:hAnsi="仿宋_GB2312" w:eastAsia="楷体_GB2312" w:cs="Times New Roman"/>
          <w:b/>
          <w:color w:val="000000"/>
          <w:sz w:val="32"/>
          <w:szCs w:val="32"/>
          <w:highlight w:val="none"/>
          <w:lang w:val="en-US" w:eastAsia="zh-CN"/>
        </w:rPr>
        <w:t>一</w:t>
      </w:r>
      <w:r>
        <w:rPr>
          <w:rFonts w:hint="eastAsia" w:ascii="楷体_GB2312" w:hAnsi="仿宋_GB2312" w:eastAsia="楷体_GB2312" w:cs="Times New Roman"/>
          <w:b/>
          <w:color w:val="000000"/>
          <w:sz w:val="32"/>
          <w:szCs w:val="32"/>
          <w:highlight w:val="none"/>
        </w:rPr>
        <w:t>条</w:t>
      </w:r>
      <w:r>
        <w:rPr>
          <w:rFonts w:hint="eastAsia" w:ascii="仿宋_GB2312" w:hAnsi="仿宋" w:eastAsia="仿宋_GB2312" w:cs="仿宋_GB2312"/>
          <w:sz w:val="32"/>
          <w:szCs w:val="32"/>
          <w:highlight w:val="none"/>
          <w:lang w:bidi="ar"/>
        </w:rPr>
        <w:t xml:space="preserve"> 定点医药机构</w:t>
      </w:r>
      <w:r>
        <w:rPr>
          <w:rFonts w:hint="eastAsia" w:ascii="仿宋_GB2312" w:hAnsi="仿宋" w:eastAsia="仿宋_GB2312" w:cs="仿宋_GB2312"/>
          <w:sz w:val="32"/>
          <w:szCs w:val="32"/>
          <w:highlight w:val="none"/>
          <w:lang w:eastAsia="zh-CN" w:bidi="ar"/>
        </w:rPr>
        <w:t>医保</w:t>
      </w:r>
      <w:r>
        <w:rPr>
          <w:rFonts w:hint="eastAsia" w:ascii="仿宋_GB2312" w:hAnsi="仿宋" w:eastAsia="仿宋_GB2312" w:cs="仿宋_GB2312"/>
          <w:sz w:val="32"/>
          <w:szCs w:val="32"/>
          <w:highlight w:val="none"/>
          <w:lang w:bidi="ar"/>
        </w:rPr>
        <w:t>信用</w:t>
      </w:r>
      <w:r>
        <w:rPr>
          <w:rFonts w:hint="eastAsia" w:ascii="仿宋_GB2312" w:hAnsi="仿宋" w:eastAsia="仿宋_GB2312" w:cs="仿宋_GB2312"/>
          <w:sz w:val="32"/>
          <w:szCs w:val="32"/>
          <w:highlight w:val="none"/>
          <w:lang w:eastAsia="zh-CN" w:bidi="ar"/>
        </w:rPr>
        <w:t>评</w:t>
      </w:r>
      <w:r>
        <w:rPr>
          <w:rFonts w:hint="eastAsia" w:ascii="仿宋_GB2312" w:hAnsi="仿宋" w:eastAsia="仿宋_GB2312" w:cs="仿宋_GB2312"/>
          <w:sz w:val="32"/>
          <w:szCs w:val="32"/>
          <w:highlight w:val="none"/>
          <w:lang w:val="en-US" w:eastAsia="zh-CN" w:bidi="ar"/>
        </w:rPr>
        <w:t>级</w:t>
      </w:r>
      <w:r>
        <w:rPr>
          <w:rFonts w:hint="eastAsia" w:ascii="仿宋_GB2312" w:hAnsi="仿宋" w:eastAsia="仿宋_GB2312" w:cs="仿宋_GB2312"/>
          <w:sz w:val="32"/>
          <w:szCs w:val="32"/>
          <w:highlight w:val="none"/>
          <w:lang w:bidi="ar"/>
        </w:rPr>
        <w:t>的内容主要包括，是否按照有关法律、政策规定和服务协议约定，履行自身权利及义务，</w:t>
      </w:r>
      <w:r>
        <w:rPr>
          <w:rFonts w:hint="eastAsia" w:ascii="仿宋_GB2312" w:hAnsi="仿宋" w:eastAsia="仿宋_GB2312" w:cs="仿宋_GB2312"/>
          <w:sz w:val="32"/>
          <w:szCs w:val="32"/>
          <w:highlight w:val="none"/>
          <w:lang w:val="en-US" w:eastAsia="zh-CN" w:bidi="ar"/>
        </w:rPr>
        <w:t>按规定提供医药服务，提高服务质量，合理使用医疗保障基金</w:t>
      </w:r>
      <w:r>
        <w:rPr>
          <w:rFonts w:hint="eastAsia" w:ascii="仿宋_GB2312" w:hAnsi="仿宋" w:eastAsia="仿宋_GB2312" w:cs="仿宋_GB2312"/>
          <w:sz w:val="32"/>
          <w:szCs w:val="32"/>
          <w:highlight w:val="none"/>
          <w:lang w:bidi="ar"/>
        </w:rPr>
        <w:t>等。</w:t>
      </w:r>
      <w:r>
        <w:rPr>
          <w:rFonts w:hint="eastAsia" w:ascii="仿宋_GB2312" w:hAnsi="仿宋" w:eastAsia="仿宋_GB2312" w:cs="仿宋_GB2312"/>
          <w:sz w:val="32"/>
          <w:szCs w:val="32"/>
          <w:highlight w:val="none"/>
          <w:lang w:eastAsia="zh-CN" w:bidi="ar"/>
        </w:rPr>
        <w:t>医疗保障经办机构或委托的第三方信用服务机构</w:t>
      </w:r>
      <w:r>
        <w:rPr>
          <w:rFonts w:hint="eastAsia" w:ascii="仿宋_GB2312" w:hAnsi="仿宋" w:eastAsia="仿宋_GB2312" w:cs="仿宋_GB2312"/>
          <w:sz w:val="32"/>
          <w:szCs w:val="32"/>
          <w:highlight w:val="none"/>
          <w:lang w:bidi="ar"/>
        </w:rPr>
        <w:t>从协议履行、基金</w:t>
      </w:r>
      <w:r>
        <w:rPr>
          <w:rFonts w:hint="eastAsia" w:ascii="仿宋_GB2312" w:hAnsi="仿宋" w:eastAsia="仿宋_GB2312" w:cs="仿宋_GB2312"/>
          <w:sz w:val="32"/>
          <w:szCs w:val="32"/>
          <w:highlight w:val="none"/>
          <w:lang w:val="en-US" w:eastAsia="zh-CN" w:bidi="ar"/>
        </w:rPr>
        <w:t>使用</w:t>
      </w:r>
      <w:r>
        <w:rPr>
          <w:rFonts w:hint="eastAsia" w:ascii="仿宋_GB2312" w:hAnsi="仿宋" w:eastAsia="仿宋_GB2312" w:cs="仿宋_GB2312"/>
          <w:sz w:val="32"/>
          <w:szCs w:val="32"/>
          <w:highlight w:val="none"/>
          <w:lang w:bidi="ar"/>
        </w:rPr>
        <w:t>、</w:t>
      </w:r>
      <w:r>
        <w:rPr>
          <w:rFonts w:hint="eastAsia" w:ascii="仿宋_GB2312" w:hAnsi="仿宋" w:eastAsia="仿宋_GB2312" w:cs="仿宋_GB2312"/>
          <w:sz w:val="32"/>
          <w:szCs w:val="32"/>
          <w:highlight w:val="none"/>
          <w:lang w:val="en-US" w:eastAsia="zh-CN" w:bidi="ar"/>
        </w:rPr>
        <w:t>医药服务、行业规范等方面对定点医药机构</w:t>
      </w:r>
      <w:r>
        <w:rPr>
          <w:rFonts w:hint="eastAsia" w:ascii="仿宋_GB2312" w:hAnsi="仿宋" w:eastAsia="仿宋_GB2312" w:cs="仿宋_GB2312"/>
          <w:sz w:val="32"/>
          <w:szCs w:val="32"/>
          <w:highlight w:val="none"/>
          <w:lang w:bidi="ar"/>
        </w:rPr>
        <w:t>开展</w:t>
      </w:r>
      <w:r>
        <w:rPr>
          <w:rFonts w:hint="eastAsia" w:ascii="仿宋_GB2312" w:hAnsi="仿宋" w:eastAsia="仿宋_GB2312" w:cs="仿宋_GB2312"/>
          <w:sz w:val="32"/>
          <w:szCs w:val="32"/>
          <w:highlight w:val="none"/>
          <w:lang w:eastAsia="zh-CN" w:bidi="ar"/>
        </w:rPr>
        <w:t>信用</w:t>
      </w:r>
      <w:r>
        <w:rPr>
          <w:rFonts w:hint="eastAsia" w:ascii="仿宋_GB2312" w:hAnsi="仿宋" w:eastAsia="仿宋_GB2312" w:cs="仿宋_GB2312"/>
          <w:sz w:val="32"/>
          <w:szCs w:val="32"/>
          <w:highlight w:val="none"/>
          <w:lang w:bidi="ar"/>
        </w:rPr>
        <w:t>评</w:t>
      </w:r>
      <w:r>
        <w:rPr>
          <w:rFonts w:hint="eastAsia" w:ascii="仿宋_GB2312" w:hAnsi="仿宋" w:eastAsia="仿宋_GB2312" w:cs="仿宋_GB2312"/>
          <w:sz w:val="32"/>
          <w:szCs w:val="32"/>
          <w:highlight w:val="none"/>
          <w:lang w:val="en-US" w:eastAsia="zh-CN" w:bidi="ar"/>
        </w:rPr>
        <w:t>级</w:t>
      </w:r>
      <w:r>
        <w:rPr>
          <w:rFonts w:hint="eastAsia" w:ascii="仿宋_GB2312" w:hAnsi="仿宋" w:eastAsia="仿宋_GB2312" w:cs="仿宋_GB2312"/>
          <w:sz w:val="32"/>
          <w:szCs w:val="32"/>
          <w:highlight w:val="none"/>
          <w:lang w:bidi="ar"/>
        </w:rPr>
        <w:t>。</w:t>
      </w:r>
    </w:p>
    <w:p>
      <w:pPr>
        <w:keepNext w:val="0"/>
        <w:keepLines w:val="0"/>
        <w:pageBreakBefore w:val="0"/>
        <w:widowControl/>
        <w:kinsoku/>
        <w:wordWrap/>
        <w:overflowPunct/>
        <w:topLinePunct w:val="0"/>
        <w:autoSpaceDE/>
        <w:autoSpaceDN/>
        <w:bidi w:val="0"/>
        <w:adjustRightInd/>
        <w:snapToGrid/>
        <w:spacing w:line="600" w:lineRule="exact"/>
        <w:ind w:firstLine="630"/>
        <w:rPr>
          <w:rFonts w:hint="default" w:ascii="仿宋_GB2312" w:hAnsi="仿宋" w:eastAsia="仿宋_GB2312" w:cs="仿宋_GB2312"/>
          <w:sz w:val="32"/>
          <w:szCs w:val="32"/>
          <w:highlight w:val="none"/>
          <w:lang w:val="en-US" w:eastAsia="zh-CN" w:bidi="ar"/>
        </w:rPr>
      </w:pPr>
      <w:r>
        <w:rPr>
          <w:rFonts w:hint="eastAsia" w:ascii="楷体_GB2312" w:hAnsi="仿宋_GB2312" w:eastAsia="楷体_GB2312" w:cs="Times New Roman"/>
          <w:b/>
          <w:color w:val="000000"/>
          <w:sz w:val="32"/>
          <w:szCs w:val="32"/>
          <w:highlight w:val="none"/>
        </w:rPr>
        <w:t>第</w:t>
      </w:r>
      <w:r>
        <w:rPr>
          <w:rFonts w:hint="eastAsia" w:ascii="楷体_GB2312" w:hAnsi="仿宋_GB2312" w:eastAsia="楷体_GB2312" w:cs="Times New Roman"/>
          <w:b/>
          <w:color w:val="000000"/>
          <w:sz w:val="32"/>
          <w:szCs w:val="32"/>
          <w:highlight w:val="none"/>
          <w:lang w:eastAsia="zh-CN"/>
        </w:rPr>
        <w:t>十</w:t>
      </w:r>
      <w:r>
        <w:rPr>
          <w:rFonts w:hint="eastAsia" w:ascii="楷体_GB2312" w:hAnsi="仿宋_GB2312" w:eastAsia="楷体_GB2312" w:cs="Times New Roman"/>
          <w:b/>
          <w:color w:val="000000"/>
          <w:sz w:val="32"/>
          <w:szCs w:val="32"/>
          <w:highlight w:val="none"/>
          <w:lang w:val="en-US" w:eastAsia="zh-CN"/>
        </w:rPr>
        <w:t>二</w:t>
      </w:r>
      <w:r>
        <w:rPr>
          <w:rFonts w:hint="eastAsia" w:ascii="楷体_GB2312" w:hAnsi="仿宋_GB2312" w:eastAsia="楷体_GB2312" w:cs="Times New Roman"/>
          <w:b/>
          <w:color w:val="000000"/>
          <w:sz w:val="32"/>
          <w:szCs w:val="32"/>
          <w:highlight w:val="none"/>
        </w:rPr>
        <w:t>条</w:t>
      </w:r>
      <w:r>
        <w:rPr>
          <w:rFonts w:hint="eastAsia" w:ascii="仿宋_GB2312" w:hAnsi="仿宋" w:eastAsia="仿宋_GB2312" w:cs="仿宋_GB2312"/>
          <w:sz w:val="32"/>
          <w:szCs w:val="32"/>
          <w:highlight w:val="none"/>
          <w:lang w:bidi="ar"/>
        </w:rPr>
        <w:t xml:space="preserve"> </w:t>
      </w:r>
      <w:r>
        <w:rPr>
          <w:rFonts w:hint="eastAsia" w:ascii="仿宋" w:hAnsi="仿宋" w:eastAsia="仿宋" w:cs="仿宋"/>
          <w:sz w:val="32"/>
          <w:szCs w:val="32"/>
          <w:highlight w:val="none"/>
        </w:rPr>
        <w:t>定点医药机构</w:t>
      </w:r>
      <w:r>
        <w:rPr>
          <w:rFonts w:hint="eastAsia" w:ascii="仿宋" w:hAnsi="仿宋" w:eastAsia="仿宋" w:cs="仿宋"/>
          <w:sz w:val="32"/>
          <w:szCs w:val="32"/>
          <w:highlight w:val="none"/>
          <w:lang w:eastAsia="zh-CN"/>
        </w:rPr>
        <w:t>医保</w:t>
      </w:r>
      <w:r>
        <w:rPr>
          <w:rFonts w:hint="eastAsia" w:ascii="仿宋" w:hAnsi="仿宋" w:eastAsia="仿宋" w:cs="仿宋"/>
          <w:sz w:val="32"/>
          <w:szCs w:val="32"/>
          <w:highlight w:val="none"/>
        </w:rPr>
        <w:t>信用评</w:t>
      </w:r>
      <w:r>
        <w:rPr>
          <w:rFonts w:hint="eastAsia" w:ascii="仿宋" w:hAnsi="仿宋" w:eastAsia="仿宋" w:cs="仿宋"/>
          <w:sz w:val="32"/>
          <w:szCs w:val="32"/>
          <w:highlight w:val="none"/>
          <w:lang w:val="en-US" w:eastAsia="zh-CN"/>
        </w:rPr>
        <w:t>级</w:t>
      </w:r>
      <w:r>
        <w:rPr>
          <w:rFonts w:hint="eastAsia" w:ascii="仿宋" w:hAnsi="仿宋" w:eastAsia="仿宋" w:cs="仿宋"/>
          <w:sz w:val="32"/>
          <w:szCs w:val="32"/>
          <w:highlight w:val="none"/>
        </w:rPr>
        <w:t>实行</w:t>
      </w:r>
      <w:r>
        <w:rPr>
          <w:rFonts w:hint="eastAsia" w:ascii="仿宋" w:hAnsi="仿宋" w:eastAsia="仿宋" w:cs="仿宋"/>
          <w:sz w:val="32"/>
          <w:szCs w:val="32"/>
          <w:highlight w:val="none"/>
          <w:lang w:val="en-US" w:eastAsia="zh-CN"/>
        </w:rPr>
        <w:t>等级</w:t>
      </w:r>
      <w:r>
        <w:rPr>
          <w:rFonts w:hint="eastAsia" w:ascii="仿宋" w:hAnsi="仿宋" w:eastAsia="仿宋" w:cs="仿宋"/>
          <w:sz w:val="32"/>
          <w:szCs w:val="32"/>
          <w:highlight w:val="none"/>
        </w:rPr>
        <w:t>制管理，</w:t>
      </w:r>
      <w:r>
        <w:rPr>
          <w:rFonts w:hint="eastAsia" w:ascii="仿宋_GB2312" w:hAnsi="仿宋" w:eastAsia="仿宋_GB2312" w:cs="仿宋_GB2312"/>
          <w:sz w:val="32"/>
          <w:szCs w:val="32"/>
          <w:highlight w:val="none"/>
          <w:lang w:bidi="ar"/>
        </w:rPr>
        <w:t>细分为A+、A、B、C、C-、D、D-七个信用等级。</w:t>
      </w:r>
      <w:r>
        <w:rPr>
          <w:rFonts w:hint="eastAsia" w:ascii="仿宋_GB2312" w:hAnsi="仿宋" w:eastAsia="仿宋_GB2312" w:cs="仿宋_GB2312"/>
          <w:sz w:val="32"/>
          <w:szCs w:val="32"/>
          <w:highlight w:val="none"/>
          <w:lang w:val="en-US" w:eastAsia="zh-CN" w:bidi="ar"/>
        </w:rPr>
        <w:t>具体分档详见附件一。</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bidi="ar"/>
        </w:rPr>
      </w:pPr>
      <w:r>
        <w:rPr>
          <w:rFonts w:hint="eastAsia" w:ascii="楷体_GB2312" w:hAnsi="仿宋_GB2312" w:eastAsia="楷体_GB2312" w:cs="Times New Roman"/>
          <w:b/>
          <w:color w:val="000000"/>
          <w:sz w:val="32"/>
          <w:szCs w:val="32"/>
          <w:highlight w:val="none"/>
        </w:rPr>
        <w:t>第</w:t>
      </w:r>
      <w:r>
        <w:rPr>
          <w:rFonts w:hint="eastAsia" w:ascii="楷体_GB2312" w:hAnsi="仿宋_GB2312" w:eastAsia="楷体_GB2312" w:cs="Times New Roman"/>
          <w:b/>
          <w:color w:val="000000"/>
          <w:sz w:val="32"/>
          <w:szCs w:val="32"/>
          <w:highlight w:val="none"/>
          <w:lang w:eastAsia="zh-CN"/>
        </w:rPr>
        <w:t>十</w:t>
      </w:r>
      <w:r>
        <w:rPr>
          <w:rFonts w:hint="eastAsia" w:ascii="楷体_GB2312" w:hAnsi="仿宋_GB2312" w:eastAsia="楷体_GB2312" w:cs="Times New Roman"/>
          <w:b/>
          <w:color w:val="000000"/>
          <w:sz w:val="32"/>
          <w:szCs w:val="32"/>
          <w:highlight w:val="none"/>
          <w:lang w:val="en-US" w:eastAsia="zh-CN"/>
        </w:rPr>
        <w:t>三</w:t>
      </w:r>
      <w:r>
        <w:rPr>
          <w:rFonts w:hint="eastAsia" w:ascii="楷体_GB2312" w:hAnsi="仿宋_GB2312" w:eastAsia="楷体_GB2312" w:cs="Times New Roman"/>
          <w:b/>
          <w:color w:val="000000"/>
          <w:sz w:val="32"/>
          <w:szCs w:val="32"/>
          <w:highlight w:val="none"/>
        </w:rPr>
        <w:t>条</w:t>
      </w:r>
      <w:r>
        <w:rPr>
          <w:rFonts w:hint="eastAsia" w:ascii="仿宋_GB2312" w:hAnsi="仿宋" w:eastAsia="仿宋_GB2312" w:cs="仿宋_GB2312"/>
          <w:sz w:val="32"/>
          <w:szCs w:val="32"/>
          <w:highlight w:val="none"/>
          <w:lang w:bidi="ar"/>
        </w:rPr>
        <w:t xml:space="preserve"> </w:t>
      </w:r>
      <w:r>
        <w:rPr>
          <w:rFonts w:hint="eastAsia" w:ascii="仿宋_GB2312" w:hAnsi="仿宋" w:eastAsia="仿宋_GB2312" w:cs="仿宋_GB2312"/>
          <w:sz w:val="32"/>
          <w:szCs w:val="32"/>
          <w:highlight w:val="none"/>
          <w:lang w:val="en-US" w:eastAsia="zh-CN" w:bidi="ar"/>
        </w:rPr>
        <w:t>医保信用评级基本分值1000分，在此基础上，设置减分项、加分项两类指标。</w:t>
      </w:r>
      <w:r>
        <w:rPr>
          <w:rFonts w:hint="eastAsia" w:ascii="仿宋_GB2312" w:hAnsi="仿宋" w:eastAsia="仿宋_GB2312" w:cs="仿宋_GB2312"/>
          <w:sz w:val="32"/>
          <w:szCs w:val="32"/>
          <w:highlight w:val="none"/>
          <w:lang w:eastAsia="zh-CN" w:bidi="ar"/>
        </w:rPr>
        <w:t>医保</w:t>
      </w:r>
      <w:r>
        <w:rPr>
          <w:rFonts w:hint="eastAsia" w:ascii="仿宋_GB2312" w:hAnsi="仿宋" w:eastAsia="仿宋_GB2312" w:cs="仿宋_GB2312"/>
          <w:sz w:val="32"/>
          <w:szCs w:val="32"/>
          <w:highlight w:val="none"/>
          <w:lang w:bidi="ar"/>
        </w:rPr>
        <w:t>信用评</w:t>
      </w:r>
      <w:r>
        <w:rPr>
          <w:rFonts w:hint="eastAsia" w:ascii="仿宋_GB2312" w:hAnsi="仿宋" w:eastAsia="仿宋_GB2312" w:cs="仿宋_GB2312"/>
          <w:sz w:val="32"/>
          <w:szCs w:val="32"/>
          <w:highlight w:val="none"/>
          <w:lang w:val="en-US" w:eastAsia="zh-CN" w:bidi="ar"/>
        </w:rPr>
        <w:t>级根据</w:t>
      </w:r>
      <w:r>
        <w:rPr>
          <w:rFonts w:hint="eastAsia" w:ascii="仿宋_GB2312" w:hAnsi="仿宋" w:eastAsia="仿宋_GB2312" w:cs="仿宋_GB2312"/>
          <w:sz w:val="32"/>
          <w:szCs w:val="32"/>
          <w:highlight w:val="none"/>
          <w:lang w:bidi="ar"/>
        </w:rPr>
        <w:t>赋分标准，采用基准分递增（减）</w:t>
      </w:r>
      <w:r>
        <w:rPr>
          <w:rFonts w:ascii="仿宋_GB2312" w:hAnsi="仿宋" w:eastAsia="仿宋_GB2312" w:cs="仿宋_GB2312"/>
          <w:sz w:val="32"/>
          <w:szCs w:val="32"/>
          <w:highlight w:val="none"/>
          <w:lang w:bidi="ar"/>
        </w:rPr>
        <w:t>、</w:t>
      </w:r>
      <w:r>
        <w:rPr>
          <w:rFonts w:hint="eastAsia" w:ascii="仿宋_GB2312" w:hAnsi="仿宋" w:eastAsia="仿宋_GB2312" w:cs="仿宋_GB2312"/>
          <w:sz w:val="32"/>
          <w:szCs w:val="32"/>
          <w:highlight w:val="none"/>
          <w:lang w:bidi="ar"/>
        </w:rPr>
        <w:t>标杆最优、实际值中优等方法打分。</w:t>
      </w:r>
    </w:p>
    <w:p>
      <w:pPr>
        <w:pStyle w:val="2"/>
        <w:ind w:firstLine="640" w:firstLineChars="200"/>
        <w:rPr>
          <w:rFonts w:hint="default" w:eastAsia="仿宋_GB2312"/>
          <w:lang w:val="en-US" w:eastAsia="zh-CN"/>
        </w:rPr>
      </w:pPr>
      <w:r>
        <w:rPr>
          <w:rFonts w:hint="eastAsia" w:ascii="仿宋_GB2312" w:hAnsi="仿宋" w:eastAsia="仿宋_GB2312" w:cs="仿宋_GB2312"/>
          <w:sz w:val="32"/>
          <w:szCs w:val="32"/>
          <w:highlight w:val="none"/>
          <w:lang w:val="en-US" w:eastAsia="zh-CN" w:bidi="ar"/>
        </w:rPr>
        <w:t>评价指标实行动态管理，根据工作安排或政策调整等，医疗保障行政部门可对下一评价周期的评价指标予以调整。</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bidi="ar"/>
        </w:rPr>
      </w:pPr>
      <w:r>
        <w:rPr>
          <w:rFonts w:hint="eastAsia" w:ascii="楷体_GB2312" w:hAnsi="仿宋_GB2312" w:eastAsia="楷体_GB2312" w:cs="Times New Roman"/>
          <w:b/>
          <w:color w:val="000000"/>
          <w:sz w:val="32"/>
          <w:szCs w:val="32"/>
          <w:highlight w:val="none"/>
        </w:rPr>
        <w:t>第</w:t>
      </w:r>
      <w:r>
        <w:rPr>
          <w:rFonts w:hint="eastAsia" w:ascii="楷体_GB2312" w:hAnsi="仿宋_GB2312" w:eastAsia="楷体_GB2312" w:cs="Times New Roman"/>
          <w:b/>
          <w:color w:val="000000"/>
          <w:sz w:val="32"/>
          <w:szCs w:val="32"/>
          <w:highlight w:val="none"/>
          <w:lang w:eastAsia="zh-CN"/>
        </w:rPr>
        <w:t>十四</w:t>
      </w:r>
      <w:r>
        <w:rPr>
          <w:rFonts w:hint="eastAsia" w:ascii="楷体_GB2312" w:hAnsi="仿宋_GB2312" w:eastAsia="楷体_GB2312" w:cs="Times New Roman"/>
          <w:b/>
          <w:color w:val="000000"/>
          <w:sz w:val="32"/>
          <w:szCs w:val="32"/>
          <w:highlight w:val="none"/>
        </w:rPr>
        <w:t>条</w:t>
      </w:r>
      <w:r>
        <w:rPr>
          <w:rFonts w:hint="eastAsia" w:ascii="仿宋_GB2312" w:hAnsi="仿宋" w:eastAsia="仿宋_GB2312" w:cs="仿宋_GB2312"/>
          <w:sz w:val="32"/>
          <w:szCs w:val="32"/>
          <w:highlight w:val="none"/>
          <w:lang w:bidi="ar"/>
        </w:rPr>
        <w:t xml:space="preserve"> 定点医药机构</w:t>
      </w:r>
      <w:r>
        <w:rPr>
          <w:rFonts w:hint="eastAsia" w:ascii="仿宋_GB2312" w:hAnsi="仿宋" w:eastAsia="仿宋_GB2312" w:cs="仿宋_GB2312"/>
          <w:sz w:val="32"/>
          <w:szCs w:val="32"/>
          <w:highlight w:val="none"/>
          <w:lang w:eastAsia="zh-CN" w:bidi="ar"/>
        </w:rPr>
        <w:t>医保</w:t>
      </w:r>
      <w:r>
        <w:rPr>
          <w:rFonts w:hint="eastAsia" w:ascii="仿宋_GB2312" w:hAnsi="仿宋" w:eastAsia="仿宋_GB2312" w:cs="仿宋_GB2312"/>
          <w:sz w:val="32"/>
          <w:szCs w:val="32"/>
          <w:highlight w:val="none"/>
          <w:lang w:bidi="ar"/>
        </w:rPr>
        <w:t>信用等级以</w:t>
      </w:r>
      <w:r>
        <w:rPr>
          <w:rFonts w:ascii="仿宋_GB2312" w:hAnsi="仿宋" w:eastAsia="仿宋_GB2312" w:cs="仿宋_GB2312"/>
          <w:sz w:val="32"/>
          <w:szCs w:val="32"/>
          <w:highlight w:val="none"/>
          <w:lang w:bidi="ar"/>
        </w:rPr>
        <w:t>自然年度</w:t>
      </w:r>
      <w:r>
        <w:rPr>
          <w:rFonts w:hint="eastAsia" w:ascii="仿宋_GB2312" w:hAnsi="仿宋" w:eastAsia="仿宋_GB2312" w:cs="仿宋_GB2312"/>
          <w:sz w:val="32"/>
          <w:szCs w:val="32"/>
          <w:highlight w:val="none"/>
          <w:lang w:bidi="ar"/>
        </w:rPr>
        <w:t>为评定周期，</w:t>
      </w:r>
      <w:r>
        <w:rPr>
          <w:rFonts w:hint="eastAsia" w:ascii="仿宋_GB2312" w:hAnsi="仿宋" w:eastAsia="仿宋_GB2312" w:cs="仿宋_GB2312"/>
          <w:sz w:val="32"/>
          <w:szCs w:val="32"/>
          <w:highlight w:val="none"/>
          <w:lang w:val="en-US" w:eastAsia="zh-CN" w:bidi="ar"/>
        </w:rPr>
        <w:t>每年的信用评级根据上一年度信用评级结果结合当年守信情况，</w:t>
      </w:r>
      <w:r>
        <w:rPr>
          <w:rFonts w:hint="eastAsia" w:ascii="仿宋_GB2312" w:hAnsi="仿宋" w:eastAsia="仿宋_GB2312" w:cs="仿宋_GB2312"/>
          <w:sz w:val="32"/>
          <w:szCs w:val="32"/>
          <w:highlight w:val="none"/>
          <w:lang w:bidi="ar"/>
        </w:rPr>
        <w:t>通过山东省</w:t>
      </w:r>
      <w:r>
        <w:rPr>
          <w:rFonts w:hint="eastAsia" w:ascii="仿宋_GB2312" w:hAnsi="仿宋_GB2312" w:eastAsia="仿宋_GB2312"/>
          <w:sz w:val="32"/>
          <w:szCs w:val="32"/>
          <w:highlight w:val="none"/>
          <w:lang w:eastAsia="zh-CN"/>
        </w:rPr>
        <w:t>医保信用评价信息</w:t>
      </w:r>
      <w:r>
        <w:rPr>
          <w:rFonts w:hint="eastAsia" w:ascii="仿宋_GB2312" w:hAnsi="仿宋_GB2312" w:eastAsia="仿宋_GB2312"/>
          <w:sz w:val="32"/>
          <w:szCs w:val="32"/>
          <w:highlight w:val="none"/>
        </w:rPr>
        <w:t>管理平台</w:t>
      </w:r>
      <w:r>
        <w:rPr>
          <w:rFonts w:hint="eastAsia" w:ascii="仿宋_GB2312" w:hAnsi="仿宋" w:eastAsia="仿宋_GB2312" w:cs="仿宋_GB2312"/>
          <w:sz w:val="32"/>
          <w:szCs w:val="32"/>
          <w:highlight w:val="none"/>
          <w:lang w:bidi="ar"/>
        </w:rPr>
        <w:t>进行动态调整</w:t>
      </w:r>
      <w:r>
        <w:rPr>
          <w:rFonts w:hint="eastAsia" w:ascii="仿宋_GB2312" w:hAnsi="仿宋" w:eastAsia="仿宋_GB2312" w:cs="仿宋_GB2312"/>
          <w:sz w:val="32"/>
          <w:szCs w:val="32"/>
          <w:highlight w:val="none"/>
          <w:lang w:eastAsia="zh-CN" w:bidi="ar"/>
        </w:rPr>
        <w:t>。</w:t>
      </w:r>
      <w:r>
        <w:rPr>
          <w:rFonts w:hint="eastAsia" w:ascii="仿宋_GB2312" w:hAnsi="仿宋" w:eastAsia="仿宋_GB2312" w:cs="仿宋_GB2312"/>
          <w:sz w:val="32"/>
          <w:szCs w:val="32"/>
          <w:highlight w:val="none"/>
          <w:lang w:bidi="ar"/>
        </w:rPr>
        <w:t>定点医药机构</w:t>
      </w:r>
      <w:r>
        <w:rPr>
          <w:rFonts w:hint="eastAsia" w:ascii="仿宋_GB2312" w:hAnsi="仿宋" w:eastAsia="仿宋_GB2312" w:cs="仿宋_GB2312"/>
          <w:sz w:val="32"/>
          <w:szCs w:val="32"/>
          <w:highlight w:val="none"/>
          <w:lang w:eastAsia="zh-CN" w:bidi="ar"/>
        </w:rPr>
        <w:t>医保信用评</w:t>
      </w:r>
      <w:r>
        <w:rPr>
          <w:rFonts w:hint="default" w:ascii="仿宋_GB2312" w:hAnsi="仿宋" w:eastAsia="仿宋_GB2312" w:cs="仿宋_GB2312"/>
          <w:sz w:val="32"/>
          <w:szCs w:val="32"/>
          <w:highlight w:val="none"/>
          <w:lang w:val="en-US" w:eastAsia="zh-CN" w:bidi="ar"/>
        </w:rPr>
        <w:t>价</w:t>
      </w:r>
      <w:r>
        <w:rPr>
          <w:rFonts w:hint="eastAsia" w:ascii="仿宋_GB2312" w:hAnsi="仿宋" w:eastAsia="仿宋_GB2312" w:cs="仿宋_GB2312"/>
          <w:sz w:val="32"/>
          <w:szCs w:val="32"/>
          <w:highlight w:val="none"/>
          <w:lang w:eastAsia="zh-CN" w:bidi="ar"/>
        </w:rPr>
        <w:t>信息</w:t>
      </w:r>
      <w:r>
        <w:rPr>
          <w:rFonts w:hint="eastAsia" w:ascii="仿宋_GB2312" w:hAnsi="仿宋" w:eastAsia="仿宋_GB2312" w:cs="仿宋_GB2312"/>
          <w:sz w:val="32"/>
          <w:szCs w:val="32"/>
          <w:highlight w:val="none"/>
          <w:lang w:bidi="ar"/>
        </w:rPr>
        <w:t>涉及的情形未消除的，在下一周期</w:t>
      </w:r>
      <w:r>
        <w:rPr>
          <w:rFonts w:hint="eastAsia" w:ascii="仿宋_GB2312" w:hAnsi="仿宋" w:eastAsia="仿宋_GB2312" w:cs="仿宋_GB2312"/>
          <w:sz w:val="32"/>
          <w:szCs w:val="32"/>
          <w:highlight w:val="none"/>
          <w:lang w:val="en-US" w:eastAsia="zh-CN" w:bidi="ar"/>
        </w:rPr>
        <w:t>继续作为评分依据</w:t>
      </w:r>
      <w:r>
        <w:rPr>
          <w:rFonts w:hint="eastAsia" w:ascii="仿宋_GB2312" w:hAnsi="仿宋" w:eastAsia="仿宋_GB2312" w:cs="仿宋_GB2312"/>
          <w:sz w:val="32"/>
          <w:szCs w:val="32"/>
          <w:highlight w:val="none"/>
          <w:lang w:bidi="ar"/>
        </w:rPr>
        <w:t>。</w:t>
      </w:r>
    </w:p>
    <w:p>
      <w:pPr>
        <w:keepNext w:val="0"/>
        <w:keepLines w:val="0"/>
        <w:pageBreakBefore w:val="0"/>
        <w:widowControl/>
        <w:kinsoku/>
        <w:wordWrap/>
        <w:overflowPunct/>
        <w:topLinePunct w:val="0"/>
        <w:autoSpaceDE/>
        <w:autoSpaceDN/>
        <w:bidi w:val="0"/>
        <w:adjustRightInd/>
        <w:snapToGrid/>
        <w:spacing w:line="600" w:lineRule="exact"/>
        <w:ind w:firstLine="630"/>
        <w:rPr>
          <w:rFonts w:hint="default" w:ascii="仿宋_GB2312" w:hAnsi="仿宋" w:eastAsia="仿宋_GB2312" w:cs="仿宋_GB2312"/>
          <w:sz w:val="32"/>
          <w:szCs w:val="32"/>
          <w:highlight w:val="none"/>
          <w:lang w:val="en-US" w:eastAsia="zh-CN" w:bidi="ar"/>
        </w:rPr>
      </w:pPr>
      <w:r>
        <w:rPr>
          <w:rFonts w:hint="eastAsia" w:ascii="仿宋_GB2312" w:hAnsi="仿宋" w:eastAsia="仿宋_GB2312" w:cs="仿宋_GB2312"/>
          <w:sz w:val="32"/>
          <w:szCs w:val="32"/>
          <w:highlight w:val="none"/>
          <w:lang w:val="en-US" w:eastAsia="zh-CN" w:bidi="ar"/>
        </w:rPr>
        <w:t>签署医保定点协议不满一年的定点医药机构不参与信用评价。</w:t>
      </w:r>
    </w:p>
    <w:p>
      <w:pPr>
        <w:keepNext w:val="0"/>
        <w:keepLines w:val="0"/>
        <w:pageBreakBefore w:val="0"/>
        <w:widowControl/>
        <w:kinsoku/>
        <w:wordWrap/>
        <w:overflowPunct/>
        <w:topLinePunct w:val="0"/>
        <w:autoSpaceDE/>
        <w:autoSpaceDN/>
        <w:bidi w:val="0"/>
        <w:adjustRightInd/>
        <w:snapToGrid/>
        <w:spacing w:line="600" w:lineRule="exact"/>
        <w:ind w:firstLine="630"/>
        <w:rPr>
          <w:rFonts w:hint="default" w:ascii="仿宋_GB2312" w:hAnsi="仿宋" w:eastAsia="仿宋_GB2312" w:cs="仿宋_GB2312"/>
          <w:sz w:val="32"/>
          <w:szCs w:val="32"/>
          <w:highlight w:val="none"/>
          <w:lang w:val="en-US" w:eastAsia="zh-CN" w:bidi="ar"/>
        </w:rPr>
      </w:pPr>
      <w:r>
        <w:rPr>
          <w:rFonts w:hint="eastAsia" w:ascii="楷体_GB2312" w:hAnsi="仿宋_GB2312" w:eastAsia="楷体_GB2312" w:cs="Times New Roman"/>
          <w:b/>
          <w:color w:val="000000"/>
          <w:sz w:val="32"/>
          <w:szCs w:val="32"/>
          <w:highlight w:val="none"/>
        </w:rPr>
        <w:t>第</w:t>
      </w:r>
      <w:r>
        <w:rPr>
          <w:rFonts w:hint="eastAsia" w:ascii="楷体_GB2312" w:hAnsi="仿宋_GB2312" w:eastAsia="楷体_GB2312" w:cs="Times New Roman"/>
          <w:b/>
          <w:color w:val="000000"/>
          <w:sz w:val="32"/>
          <w:szCs w:val="32"/>
          <w:highlight w:val="none"/>
          <w:lang w:val="en-US" w:eastAsia="zh-CN"/>
        </w:rPr>
        <w:t>十五</w:t>
      </w:r>
      <w:r>
        <w:rPr>
          <w:rFonts w:hint="eastAsia" w:ascii="楷体_GB2312" w:hAnsi="仿宋_GB2312" w:eastAsia="楷体_GB2312" w:cs="Times New Roman"/>
          <w:b/>
          <w:color w:val="000000"/>
          <w:sz w:val="32"/>
          <w:szCs w:val="32"/>
          <w:highlight w:val="none"/>
        </w:rPr>
        <w:t>条</w:t>
      </w:r>
      <w:r>
        <w:rPr>
          <w:rFonts w:hint="eastAsia" w:ascii="仿宋_GB2312" w:hAnsi="仿宋" w:eastAsia="仿宋_GB2312" w:cs="仿宋_GB2312"/>
          <w:sz w:val="32"/>
          <w:szCs w:val="32"/>
          <w:highlight w:val="none"/>
          <w:lang w:bidi="ar"/>
        </w:rPr>
        <w:t xml:space="preserve"> </w:t>
      </w:r>
      <w:r>
        <w:rPr>
          <w:rFonts w:hint="eastAsia" w:ascii="仿宋_GB2312" w:hAnsi="仿宋" w:eastAsia="仿宋_GB2312" w:cs="仿宋_GB2312"/>
          <w:sz w:val="32"/>
          <w:szCs w:val="32"/>
          <w:highlight w:val="none"/>
          <w:lang w:val="en-US" w:eastAsia="zh-CN" w:bidi="ar"/>
        </w:rPr>
        <w:t>同一案件或一次检查中，定点医药机构有多次同一评价指标扣分情形的，按一次（例）行为予以扣分，有两种以上扣分情形的，扣分分值累计计算。</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bidi="ar"/>
        </w:rPr>
      </w:pPr>
      <w:r>
        <w:rPr>
          <w:rFonts w:hint="eastAsia" w:ascii="楷体_GB2312" w:hAnsi="仿宋_GB2312" w:eastAsia="楷体_GB2312" w:cs="Times New Roman"/>
          <w:b/>
          <w:color w:val="000000"/>
          <w:sz w:val="32"/>
          <w:szCs w:val="32"/>
          <w:highlight w:val="none"/>
          <w:lang w:val="en-US" w:eastAsia="zh-CN" w:bidi="ar"/>
        </w:rPr>
        <w:t>第十六条</w:t>
      </w:r>
      <w:r>
        <w:rPr>
          <w:rFonts w:hint="eastAsia" w:ascii="仿宋_GB2312" w:hAnsi="仿宋" w:eastAsia="仿宋_GB2312" w:cs="仿宋_GB2312"/>
          <w:sz w:val="32"/>
          <w:szCs w:val="32"/>
          <w:highlight w:val="none"/>
          <w:lang w:val="en-US" w:eastAsia="zh-CN" w:bidi="ar"/>
        </w:rPr>
        <w:t xml:space="preserve"> 医保经办机构应当及时将医保信用评价结果书面告知定点医药机构。</w:t>
      </w:r>
      <w:r>
        <w:rPr>
          <w:rFonts w:hint="eastAsia" w:ascii="仿宋_GB2312" w:hAnsi="仿宋" w:eastAsia="仿宋_GB2312" w:cs="仿宋_GB2312"/>
          <w:sz w:val="32"/>
          <w:szCs w:val="32"/>
          <w:highlight w:val="none"/>
          <w:lang w:bidi="ar"/>
        </w:rPr>
        <w:t>定点医药机构认为</w:t>
      </w:r>
      <w:r>
        <w:rPr>
          <w:rFonts w:hint="eastAsia" w:ascii="仿宋_GB2312" w:hAnsi="仿宋" w:eastAsia="仿宋_GB2312" w:cs="仿宋_GB2312"/>
          <w:sz w:val="32"/>
          <w:szCs w:val="32"/>
          <w:highlight w:val="none"/>
          <w:lang w:eastAsia="zh-CN" w:bidi="ar"/>
        </w:rPr>
        <w:t>信用评价信息</w:t>
      </w:r>
      <w:r>
        <w:rPr>
          <w:rFonts w:hint="eastAsia" w:ascii="仿宋_GB2312" w:hAnsi="仿宋" w:eastAsia="仿宋_GB2312" w:cs="仿宋_GB2312"/>
          <w:sz w:val="32"/>
          <w:szCs w:val="32"/>
          <w:highlight w:val="none"/>
          <w:lang w:bidi="ar"/>
        </w:rPr>
        <w:t>、信用评分和信用等级有以下情形</w:t>
      </w:r>
      <w:r>
        <w:rPr>
          <w:rFonts w:hint="eastAsia" w:ascii="仿宋_GB2312" w:hAnsi="仿宋" w:eastAsia="仿宋_GB2312" w:cs="仿宋_GB2312"/>
          <w:sz w:val="32"/>
          <w:szCs w:val="32"/>
          <w:highlight w:val="none"/>
          <w:lang w:val="en-US" w:eastAsia="zh-CN" w:bidi="ar"/>
        </w:rPr>
        <w:t>之一</w:t>
      </w:r>
      <w:r>
        <w:rPr>
          <w:rFonts w:hint="eastAsia" w:ascii="仿宋_GB2312" w:hAnsi="仿宋" w:eastAsia="仿宋_GB2312" w:cs="仿宋_GB2312"/>
          <w:sz w:val="32"/>
          <w:szCs w:val="32"/>
          <w:highlight w:val="none"/>
          <w:lang w:bidi="ar"/>
        </w:rPr>
        <w:t>的,可以</w:t>
      </w:r>
      <w:r>
        <w:rPr>
          <w:rFonts w:hint="eastAsia" w:ascii="仿宋_GB2312" w:hAnsi="仿宋" w:eastAsia="仿宋_GB2312" w:cs="仿宋_GB2312"/>
          <w:sz w:val="32"/>
          <w:szCs w:val="32"/>
          <w:highlight w:val="none"/>
          <w:lang w:eastAsia="zh-CN" w:bidi="ar"/>
        </w:rPr>
        <w:t>提出</w:t>
      </w:r>
      <w:r>
        <w:rPr>
          <w:rFonts w:hint="eastAsia" w:ascii="仿宋_GB2312" w:hAnsi="仿宋" w:eastAsia="仿宋_GB2312" w:cs="仿宋_GB2312"/>
          <w:sz w:val="32"/>
          <w:szCs w:val="32"/>
          <w:highlight w:val="none"/>
          <w:lang w:bidi="ar"/>
        </w:rPr>
        <w:t>信用异议：</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eastAsia="zh-CN" w:bidi="ar"/>
        </w:rPr>
      </w:pPr>
      <w:r>
        <w:rPr>
          <w:rFonts w:hint="eastAsia" w:ascii="仿宋_GB2312" w:hAnsi="仿宋" w:eastAsia="仿宋_GB2312" w:cs="仿宋_GB2312"/>
          <w:sz w:val="32"/>
          <w:szCs w:val="32"/>
          <w:highlight w:val="none"/>
          <w:lang w:bidi="ar"/>
        </w:rPr>
        <w:t>（一）</w:t>
      </w:r>
      <w:r>
        <w:rPr>
          <w:rFonts w:hint="eastAsia" w:ascii="仿宋_GB2312" w:hAnsi="仿宋" w:eastAsia="仿宋_GB2312" w:cs="仿宋_GB2312"/>
          <w:sz w:val="32"/>
          <w:szCs w:val="32"/>
          <w:highlight w:val="none"/>
          <w:lang w:eastAsia="zh-CN" w:bidi="ar"/>
        </w:rPr>
        <w:t>信用评价信息</w:t>
      </w:r>
      <w:r>
        <w:rPr>
          <w:rFonts w:hint="eastAsia" w:ascii="仿宋_GB2312" w:hAnsi="仿宋" w:eastAsia="仿宋_GB2312" w:cs="仿宋_GB2312"/>
          <w:sz w:val="32"/>
          <w:szCs w:val="32"/>
          <w:highlight w:val="none"/>
          <w:lang w:bidi="ar"/>
        </w:rPr>
        <w:t>与事实不符</w:t>
      </w:r>
      <w:r>
        <w:rPr>
          <w:rFonts w:hint="eastAsia" w:ascii="仿宋_GB2312" w:hAnsi="仿宋" w:eastAsia="仿宋_GB2312" w:cs="仿宋_GB2312"/>
          <w:sz w:val="32"/>
          <w:szCs w:val="32"/>
          <w:highlight w:val="none"/>
          <w:lang w:eastAsia="zh-CN" w:bidi="ar"/>
        </w:rPr>
        <w:t>；</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bidi="ar"/>
        </w:rPr>
      </w:pPr>
      <w:r>
        <w:rPr>
          <w:rFonts w:hint="eastAsia" w:ascii="仿宋_GB2312" w:hAnsi="仿宋" w:eastAsia="仿宋_GB2312" w:cs="仿宋_GB2312"/>
          <w:sz w:val="32"/>
          <w:szCs w:val="32"/>
          <w:highlight w:val="none"/>
          <w:lang w:bidi="ar"/>
        </w:rPr>
        <w:t>（二）信用评分和信用等级计算错误。</w:t>
      </w:r>
    </w:p>
    <w:p>
      <w:pPr>
        <w:widowControl/>
        <w:spacing w:line="600" w:lineRule="exact"/>
        <w:ind w:firstLine="630"/>
        <w:rPr>
          <w:rFonts w:hint="eastAsia" w:ascii="仿宋_GB2312" w:hAnsi="仿宋" w:eastAsia="仿宋_GB2312" w:cs="仿宋_GB2312"/>
          <w:sz w:val="32"/>
          <w:szCs w:val="32"/>
          <w:highlight w:val="none"/>
          <w:lang w:bidi="ar"/>
        </w:rPr>
      </w:pPr>
      <w:r>
        <w:rPr>
          <w:rFonts w:hint="eastAsia" w:ascii="仿宋_GB2312" w:hAnsi="仿宋" w:eastAsia="仿宋_GB2312" w:cs="仿宋_GB2312"/>
          <w:sz w:val="32"/>
          <w:szCs w:val="32"/>
          <w:highlight w:val="none"/>
          <w:lang w:val="en-US" w:eastAsia="zh-CN" w:bidi="ar"/>
        </w:rPr>
        <w:t>信用异议申诉应在收到书面告知之日起15个工作日内提出，逾期视为认同告知结果。</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bidi="ar"/>
        </w:rPr>
      </w:pPr>
      <w:r>
        <w:rPr>
          <w:rFonts w:hint="eastAsia" w:ascii="楷体_GB2312" w:hAnsi="仿宋_GB2312" w:eastAsia="楷体_GB2312" w:cs="Times New Roman"/>
          <w:b/>
          <w:color w:val="000000"/>
          <w:kern w:val="2"/>
          <w:sz w:val="32"/>
          <w:szCs w:val="32"/>
          <w:highlight w:val="none"/>
          <w:lang w:val="en-US" w:eastAsia="zh-CN" w:bidi="ar-SA"/>
        </w:rPr>
        <w:t>第十七条</w:t>
      </w:r>
      <w:r>
        <w:rPr>
          <w:rFonts w:hint="eastAsia" w:ascii="仿宋_GB2312" w:hAnsi="仿宋" w:eastAsia="仿宋_GB2312" w:cs="仿宋_GB2312"/>
          <w:sz w:val="32"/>
          <w:szCs w:val="32"/>
          <w:highlight w:val="none"/>
          <w:lang w:bidi="ar"/>
        </w:rPr>
        <w:t xml:space="preserve"> 信用</w:t>
      </w:r>
      <w:r>
        <w:rPr>
          <w:rFonts w:hint="eastAsia" w:ascii="仿宋_GB2312" w:hAnsi="仿宋" w:eastAsia="仿宋_GB2312" w:cs="仿宋_GB2312"/>
          <w:sz w:val="32"/>
          <w:szCs w:val="32"/>
          <w:highlight w:val="none"/>
          <w:lang w:val="en-US" w:eastAsia="zh-CN" w:bidi="ar"/>
        </w:rPr>
        <w:t>异议申诉</w:t>
      </w:r>
      <w:r>
        <w:rPr>
          <w:rFonts w:hint="eastAsia" w:ascii="仿宋_GB2312" w:hAnsi="仿宋" w:eastAsia="仿宋_GB2312" w:cs="仿宋_GB2312"/>
          <w:sz w:val="32"/>
          <w:szCs w:val="32"/>
          <w:highlight w:val="none"/>
          <w:lang w:bidi="ar"/>
        </w:rPr>
        <w:t>可以向</w:t>
      </w:r>
      <w:r>
        <w:rPr>
          <w:rFonts w:hint="eastAsia" w:ascii="仿宋_GB2312" w:hAnsi="仿宋" w:eastAsia="仿宋_GB2312" w:cs="仿宋_GB2312"/>
          <w:sz w:val="32"/>
          <w:szCs w:val="32"/>
          <w:highlight w:val="none"/>
          <w:lang w:val="en-US" w:eastAsia="zh-CN" w:bidi="ar"/>
        </w:rPr>
        <w:t>所在</w:t>
      </w:r>
      <w:r>
        <w:rPr>
          <w:rFonts w:hint="eastAsia" w:ascii="仿宋_GB2312" w:hAnsi="仿宋" w:eastAsia="仿宋_GB2312" w:cs="仿宋_GB2312"/>
          <w:sz w:val="32"/>
          <w:szCs w:val="32"/>
          <w:highlight w:val="none"/>
          <w:lang w:eastAsia="zh-CN" w:bidi="ar"/>
        </w:rPr>
        <w:t>市、县（市、区）级</w:t>
      </w:r>
      <w:r>
        <w:rPr>
          <w:rFonts w:hint="eastAsia" w:ascii="仿宋_GB2312" w:hAnsi="仿宋" w:eastAsia="仿宋_GB2312" w:cs="仿宋_GB2312"/>
          <w:sz w:val="32"/>
          <w:szCs w:val="32"/>
          <w:highlight w:val="none"/>
          <w:lang w:bidi="ar"/>
        </w:rPr>
        <w:t>医疗保障</w:t>
      </w:r>
      <w:r>
        <w:rPr>
          <w:rFonts w:hint="eastAsia" w:ascii="仿宋_GB2312" w:hAnsi="仿宋" w:eastAsia="仿宋_GB2312" w:cs="仿宋_GB2312"/>
          <w:sz w:val="32"/>
          <w:szCs w:val="32"/>
          <w:highlight w:val="none"/>
          <w:lang w:val="en-US" w:eastAsia="zh-CN" w:bidi="ar"/>
        </w:rPr>
        <w:t>行政</w:t>
      </w:r>
      <w:r>
        <w:rPr>
          <w:rFonts w:hint="eastAsia" w:ascii="仿宋_GB2312" w:hAnsi="仿宋" w:eastAsia="仿宋_GB2312" w:cs="仿宋_GB2312"/>
          <w:sz w:val="32"/>
          <w:szCs w:val="32"/>
          <w:highlight w:val="none"/>
          <w:lang w:bidi="ar"/>
        </w:rPr>
        <w:t>部门申请，申请材料包括：</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eastAsia="zh-CN" w:bidi="ar"/>
        </w:rPr>
      </w:pPr>
      <w:r>
        <w:rPr>
          <w:rFonts w:hint="eastAsia" w:ascii="仿宋_GB2312" w:hAnsi="仿宋" w:eastAsia="仿宋_GB2312" w:cs="仿宋_GB2312"/>
          <w:sz w:val="32"/>
          <w:szCs w:val="32"/>
          <w:highlight w:val="none"/>
          <w:lang w:eastAsia="zh-CN" w:bidi="ar"/>
        </w:rPr>
        <w:t>（</w:t>
      </w:r>
      <w:r>
        <w:rPr>
          <w:rFonts w:hint="eastAsia" w:ascii="仿宋_GB2312" w:hAnsi="仿宋" w:eastAsia="仿宋_GB2312" w:cs="仿宋_GB2312"/>
          <w:sz w:val="32"/>
          <w:szCs w:val="32"/>
          <w:highlight w:val="none"/>
          <w:lang w:val="en-US" w:eastAsia="zh-CN" w:bidi="ar"/>
        </w:rPr>
        <w:t>一</w:t>
      </w:r>
      <w:r>
        <w:rPr>
          <w:rFonts w:hint="eastAsia" w:ascii="仿宋_GB2312" w:hAnsi="仿宋" w:eastAsia="仿宋_GB2312" w:cs="仿宋_GB2312"/>
          <w:sz w:val="32"/>
          <w:szCs w:val="32"/>
          <w:highlight w:val="none"/>
          <w:lang w:eastAsia="zh-CN" w:bidi="ar"/>
        </w:rPr>
        <w:t>）</w:t>
      </w:r>
      <w:r>
        <w:rPr>
          <w:rFonts w:hint="eastAsia" w:ascii="仿宋_GB2312" w:hAnsi="仿宋" w:eastAsia="仿宋_GB2312" w:cs="仿宋_GB2312"/>
          <w:sz w:val="32"/>
          <w:szCs w:val="32"/>
          <w:highlight w:val="none"/>
          <w:lang w:bidi="ar"/>
        </w:rPr>
        <w:t>申请书，说明申请修改的理由、事实、依据</w:t>
      </w:r>
      <w:r>
        <w:rPr>
          <w:rFonts w:hint="eastAsia" w:ascii="仿宋_GB2312" w:hAnsi="仿宋" w:eastAsia="仿宋_GB2312" w:cs="仿宋_GB2312"/>
          <w:sz w:val="32"/>
          <w:szCs w:val="32"/>
          <w:highlight w:val="none"/>
          <w:lang w:eastAsia="zh-CN" w:bidi="ar"/>
        </w:rPr>
        <w:t>；</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bidi="ar"/>
        </w:rPr>
      </w:pPr>
      <w:r>
        <w:rPr>
          <w:rFonts w:hint="eastAsia" w:ascii="仿宋_GB2312" w:hAnsi="仿宋" w:eastAsia="仿宋_GB2312" w:cs="仿宋_GB2312"/>
          <w:sz w:val="32"/>
          <w:szCs w:val="32"/>
          <w:highlight w:val="none"/>
          <w:lang w:eastAsia="zh-CN" w:bidi="ar"/>
        </w:rPr>
        <w:t>（</w:t>
      </w:r>
      <w:r>
        <w:rPr>
          <w:rFonts w:hint="eastAsia" w:ascii="仿宋_GB2312" w:hAnsi="仿宋" w:eastAsia="仿宋_GB2312" w:cs="仿宋_GB2312"/>
          <w:sz w:val="32"/>
          <w:szCs w:val="32"/>
          <w:highlight w:val="none"/>
          <w:lang w:val="en-US" w:eastAsia="zh-CN" w:bidi="ar"/>
        </w:rPr>
        <w:t>二</w:t>
      </w:r>
      <w:r>
        <w:rPr>
          <w:rFonts w:hint="eastAsia" w:ascii="仿宋_GB2312" w:hAnsi="仿宋" w:eastAsia="仿宋_GB2312" w:cs="仿宋_GB2312"/>
          <w:sz w:val="32"/>
          <w:szCs w:val="32"/>
          <w:highlight w:val="none"/>
          <w:lang w:eastAsia="zh-CN" w:bidi="ar"/>
        </w:rPr>
        <w:t>）</w:t>
      </w:r>
      <w:r>
        <w:rPr>
          <w:rFonts w:hint="eastAsia" w:ascii="仿宋_GB2312" w:hAnsi="仿宋" w:eastAsia="仿宋_GB2312" w:cs="仿宋_GB2312"/>
          <w:sz w:val="32"/>
          <w:szCs w:val="32"/>
          <w:highlight w:val="none"/>
          <w:lang w:bidi="ar"/>
        </w:rPr>
        <w:t>有关证据材料。</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bidi="ar"/>
        </w:rPr>
      </w:pPr>
      <w:r>
        <w:rPr>
          <w:rFonts w:hint="eastAsia" w:ascii="楷体_GB2312" w:hAnsi="仿宋_GB2312" w:eastAsia="楷体_GB2312" w:cs="Times New Roman"/>
          <w:b/>
          <w:color w:val="000000"/>
          <w:kern w:val="2"/>
          <w:sz w:val="32"/>
          <w:szCs w:val="32"/>
          <w:highlight w:val="none"/>
          <w:lang w:val="en-US" w:eastAsia="zh-CN" w:bidi="ar-SA"/>
        </w:rPr>
        <w:t>第十八条</w:t>
      </w:r>
      <w:r>
        <w:rPr>
          <w:rFonts w:hint="eastAsia" w:ascii="仿宋_GB2312" w:hAnsi="仿宋" w:eastAsia="仿宋_GB2312" w:cs="仿宋_GB2312"/>
          <w:sz w:val="32"/>
          <w:szCs w:val="32"/>
          <w:highlight w:val="none"/>
          <w:lang w:bidi="ar"/>
        </w:rPr>
        <w:t xml:space="preserve"> 医疗保障</w:t>
      </w:r>
      <w:r>
        <w:rPr>
          <w:rFonts w:hint="eastAsia" w:ascii="仿宋_GB2312" w:hAnsi="仿宋" w:eastAsia="仿宋_GB2312" w:cs="仿宋_GB2312"/>
          <w:sz w:val="32"/>
          <w:szCs w:val="32"/>
          <w:highlight w:val="none"/>
          <w:lang w:val="en-US" w:eastAsia="zh-CN" w:bidi="ar"/>
        </w:rPr>
        <w:t>行政部门</w:t>
      </w:r>
      <w:r>
        <w:rPr>
          <w:rFonts w:hint="eastAsia" w:ascii="仿宋_GB2312" w:hAnsi="仿宋" w:eastAsia="仿宋_GB2312" w:cs="仿宋_GB2312"/>
          <w:sz w:val="32"/>
          <w:szCs w:val="32"/>
          <w:highlight w:val="none"/>
          <w:lang w:bidi="ar"/>
        </w:rPr>
        <w:t>收到信用异议的申请后，按规定对申诉进行调查核实，并于15个工作日内给予回复</w:t>
      </w:r>
      <w:r>
        <w:rPr>
          <w:rFonts w:hint="eastAsia" w:ascii="仿宋_GB2312" w:hAnsi="仿宋" w:eastAsia="仿宋_GB2312" w:cs="仿宋_GB2312"/>
          <w:sz w:val="32"/>
          <w:szCs w:val="32"/>
          <w:highlight w:val="none"/>
          <w:lang w:val="en-US" w:eastAsia="zh-CN" w:bidi="ar"/>
        </w:rPr>
        <w:t>确认</w:t>
      </w:r>
      <w:r>
        <w:rPr>
          <w:rFonts w:hint="eastAsia" w:ascii="仿宋_GB2312" w:hAnsi="仿宋" w:eastAsia="仿宋_GB2312" w:cs="仿宋_GB2312"/>
          <w:sz w:val="32"/>
          <w:szCs w:val="32"/>
          <w:highlight w:val="none"/>
          <w:lang w:bidi="ar"/>
        </w:rPr>
        <w:t>。</w:t>
      </w:r>
    </w:p>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黑体" w:hAnsi="黑体" w:eastAsia="黑体" w:cs="黑体"/>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仿宋_GB2312" w:hAnsi="仿宋" w:eastAsia="黑体" w:cs="仿宋"/>
          <w:kern w:val="0"/>
          <w:sz w:val="30"/>
          <w:szCs w:val="30"/>
          <w:highlight w:val="none"/>
          <w:lang w:eastAsia="zh-CN"/>
        </w:rPr>
      </w:pPr>
      <w:r>
        <w:rPr>
          <w:rFonts w:hint="eastAsia" w:ascii="黑体" w:hAnsi="黑体" w:eastAsia="黑体" w:cs="黑体"/>
          <w:kern w:val="0"/>
          <w:sz w:val="32"/>
          <w:szCs w:val="32"/>
          <w:highlight w:val="none"/>
        </w:rPr>
        <w:t>第</w:t>
      </w:r>
      <w:r>
        <w:rPr>
          <w:rFonts w:hint="eastAsia" w:ascii="黑体" w:hAnsi="黑体" w:eastAsia="黑体" w:cs="黑体"/>
          <w:kern w:val="0"/>
          <w:sz w:val="32"/>
          <w:szCs w:val="32"/>
          <w:highlight w:val="none"/>
          <w:lang w:eastAsia="zh-CN"/>
        </w:rPr>
        <w:t>四</w:t>
      </w:r>
      <w:r>
        <w:rPr>
          <w:rFonts w:hint="eastAsia" w:ascii="黑体" w:hAnsi="黑体" w:eastAsia="黑体" w:cs="黑体"/>
          <w:kern w:val="0"/>
          <w:sz w:val="32"/>
          <w:szCs w:val="32"/>
          <w:highlight w:val="none"/>
        </w:rPr>
        <w:t>章　</w:t>
      </w:r>
      <w:r>
        <w:rPr>
          <w:rFonts w:hint="eastAsia" w:ascii="黑体" w:hAnsi="黑体" w:eastAsia="黑体" w:cs="黑体"/>
          <w:kern w:val="0"/>
          <w:sz w:val="32"/>
          <w:szCs w:val="32"/>
          <w:highlight w:val="none"/>
          <w:lang w:eastAsia="zh-CN"/>
        </w:rPr>
        <w:t>评价结果应用</w:t>
      </w:r>
    </w:p>
    <w:p>
      <w:pPr>
        <w:pStyle w:val="4"/>
        <w:keepNext w:val="0"/>
        <w:keepLines w:val="0"/>
        <w:pageBreakBefore w:val="0"/>
        <w:widowControl/>
        <w:kinsoku/>
        <w:wordWrap/>
        <w:overflowPunct/>
        <w:topLinePunct w:val="0"/>
        <w:autoSpaceDE/>
        <w:autoSpaceDN/>
        <w:bidi w:val="0"/>
        <w:adjustRightInd/>
        <w:snapToGrid/>
        <w:spacing w:after="0" w:line="600" w:lineRule="exact"/>
        <w:rPr>
          <w:rFonts w:hint="eastAsia" w:ascii="仿宋_GB2312" w:hAnsi="仿宋" w:eastAsia="仿宋_GB2312" w:cs="仿宋_GB2312"/>
          <w:sz w:val="32"/>
          <w:szCs w:val="32"/>
          <w:highlight w:val="none"/>
          <w:lang w:bidi="ar"/>
        </w:rPr>
      </w:pPr>
      <w:r>
        <w:rPr>
          <w:rFonts w:hint="eastAsia" w:ascii="仿宋_GB2312" w:hAnsi="仿宋" w:eastAsia="仿宋_GB2312" w:cs="仿宋"/>
          <w:sz w:val="30"/>
          <w:szCs w:val="30"/>
          <w:highlight w:val="none"/>
        </w:rPr>
        <w:t>　</w:t>
      </w:r>
      <w:r>
        <w:rPr>
          <w:rFonts w:hint="eastAsia" w:ascii="仿宋_GB2312" w:hAnsi="仿宋" w:eastAsia="仿宋_GB2312" w:cs="仿宋_GB2312"/>
          <w:sz w:val="32"/>
          <w:szCs w:val="32"/>
          <w:highlight w:val="none"/>
          <w:lang w:bidi="ar"/>
        </w:rPr>
        <w:t>　</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sz w:val="32"/>
          <w:szCs w:val="32"/>
          <w:highlight w:val="none"/>
          <w:lang w:eastAsia="zh-CN"/>
        </w:rPr>
      </w:pPr>
      <w:r>
        <w:rPr>
          <w:rFonts w:hint="eastAsia" w:ascii="楷体_GB2312" w:hAnsi="仿宋_GB2312" w:eastAsia="楷体_GB2312" w:cs="Times New Roman"/>
          <w:b/>
          <w:color w:val="000000"/>
          <w:kern w:val="2"/>
          <w:sz w:val="32"/>
          <w:szCs w:val="32"/>
          <w:highlight w:val="none"/>
          <w:lang w:val="en-US" w:eastAsia="zh-CN" w:bidi="ar-SA"/>
        </w:rPr>
        <w:t xml:space="preserve">第十九条 </w:t>
      </w:r>
      <w:r>
        <w:rPr>
          <w:rFonts w:hint="eastAsia" w:ascii="仿宋" w:hAnsi="仿宋" w:eastAsia="仿宋" w:cs="仿宋"/>
          <w:sz w:val="32"/>
          <w:szCs w:val="32"/>
          <w:highlight w:val="none"/>
        </w:rPr>
        <w:t>医疗保障部门根据评定信用等级情况，按照本章规定对不同信用等级的定点</w:t>
      </w:r>
      <w:r>
        <w:rPr>
          <w:rFonts w:hint="eastAsia" w:ascii="仿宋" w:hAnsi="仿宋" w:eastAsia="仿宋" w:cs="仿宋"/>
          <w:sz w:val="32"/>
          <w:szCs w:val="32"/>
          <w:highlight w:val="none"/>
          <w:lang w:eastAsia="zh-CN"/>
        </w:rPr>
        <w:t>医药</w:t>
      </w:r>
      <w:r>
        <w:rPr>
          <w:rFonts w:hint="eastAsia" w:ascii="仿宋" w:hAnsi="仿宋" w:eastAsia="仿宋" w:cs="仿宋"/>
          <w:sz w:val="32"/>
          <w:szCs w:val="32"/>
          <w:highlight w:val="none"/>
        </w:rPr>
        <w:t>机构进行管理</w:t>
      </w:r>
      <w:r>
        <w:rPr>
          <w:rFonts w:hint="eastAsia" w:ascii="仿宋" w:hAnsi="仿宋" w:eastAsia="仿宋" w:cs="仿宋"/>
          <w:sz w:val="32"/>
          <w:szCs w:val="32"/>
          <w:highlight w:val="none"/>
          <w:lang w:eastAsia="zh-CN"/>
        </w:rPr>
        <w:t>，</w:t>
      </w:r>
      <w:r>
        <w:rPr>
          <w:rFonts w:hint="eastAsia" w:ascii="仿宋_GB2312" w:hAnsi="仿宋_GB2312" w:eastAsia="仿宋_GB2312"/>
          <w:sz w:val="32"/>
          <w:szCs w:val="32"/>
          <w:highlight w:val="none"/>
          <w:lang w:eastAsia="zh-CN"/>
        </w:rPr>
        <w:t>将定点医药机构医保信用评价与履约考核、监督检查等相结合。</w:t>
      </w:r>
    </w:p>
    <w:p>
      <w:pPr>
        <w:pStyle w:val="4"/>
        <w:keepNext w:val="0"/>
        <w:keepLines w:val="0"/>
        <w:pageBreakBefore w:val="0"/>
        <w:widowControl/>
        <w:kinsoku/>
        <w:wordWrap/>
        <w:overflowPunct/>
        <w:topLinePunct w:val="0"/>
        <w:autoSpaceDE/>
        <w:autoSpaceDN/>
        <w:bidi w:val="0"/>
        <w:adjustRightInd/>
        <w:snapToGrid/>
        <w:spacing w:after="0" w:line="600" w:lineRule="exact"/>
        <w:ind w:firstLine="640"/>
        <w:rPr>
          <w:rFonts w:hint="eastAsia" w:ascii="仿宋" w:hAnsi="仿宋" w:eastAsia="仿宋" w:cs="仿宋"/>
          <w:sz w:val="32"/>
          <w:szCs w:val="32"/>
          <w:highlight w:val="none"/>
        </w:rPr>
      </w:pPr>
      <w:r>
        <w:rPr>
          <w:rFonts w:hint="eastAsia" w:ascii="楷体_GB2312" w:hAnsi="仿宋_GB2312" w:eastAsia="楷体_GB2312" w:cs="Times New Roman"/>
          <w:b/>
          <w:color w:val="000000"/>
          <w:kern w:val="2"/>
          <w:sz w:val="32"/>
          <w:szCs w:val="32"/>
          <w:highlight w:val="none"/>
          <w:lang w:val="en-US" w:eastAsia="zh-CN" w:bidi="ar-SA"/>
        </w:rPr>
        <w:t>第二十条</w:t>
      </w:r>
      <w:r>
        <w:rPr>
          <w:rFonts w:hint="eastAsia" w:ascii="仿宋" w:hAnsi="仿宋" w:eastAsia="仿宋" w:cs="仿宋"/>
          <w:sz w:val="32"/>
          <w:szCs w:val="32"/>
          <w:highlight w:val="none"/>
        </w:rPr>
        <w:t xml:space="preserve"> 对评为A</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级的定点医疗机构</w:t>
      </w:r>
      <w:r>
        <w:rPr>
          <w:rFonts w:hint="eastAsia" w:ascii="仿宋" w:hAnsi="仿宋" w:eastAsia="仿宋" w:cs="仿宋"/>
          <w:sz w:val="32"/>
          <w:szCs w:val="32"/>
          <w:highlight w:val="none"/>
          <w:lang w:val="en-US" w:eastAsia="zh-CN"/>
        </w:rPr>
        <w:t>可</w:t>
      </w:r>
      <w:r>
        <w:rPr>
          <w:rFonts w:hint="eastAsia" w:ascii="仿宋" w:hAnsi="仿宋" w:eastAsia="仿宋" w:cs="仿宋"/>
          <w:sz w:val="32"/>
          <w:szCs w:val="32"/>
          <w:highlight w:val="none"/>
        </w:rPr>
        <w:t>按下列规定进行管理：</w:t>
      </w:r>
    </w:p>
    <w:p>
      <w:pPr>
        <w:pStyle w:val="4"/>
        <w:keepNext w:val="0"/>
        <w:keepLines w:val="0"/>
        <w:pageBreakBefore w:val="0"/>
        <w:widowControl/>
        <w:kinsoku/>
        <w:wordWrap/>
        <w:overflowPunct/>
        <w:topLinePunct w:val="0"/>
        <w:autoSpaceDE/>
        <w:autoSpaceDN/>
        <w:bidi w:val="0"/>
        <w:adjustRightInd/>
        <w:snapToGrid/>
        <w:spacing w:after="0" w:line="600" w:lineRule="exact"/>
        <w:ind w:firstLine="640" w:firstLineChars="200"/>
        <w:rPr>
          <w:rFonts w:hint="eastAsia" w:ascii="仿宋_GB2312" w:hAnsi="仿宋" w:eastAsia="仿宋_GB2312" w:cs="仿宋_GB2312"/>
          <w:sz w:val="32"/>
          <w:szCs w:val="32"/>
          <w:highlight w:val="none"/>
          <w:lang w:eastAsia="zh-CN" w:bidi="ar"/>
        </w:rPr>
      </w:pPr>
      <w:r>
        <w:rPr>
          <w:rFonts w:hint="eastAsia" w:ascii="仿宋" w:hAnsi="仿宋" w:eastAsia="仿宋" w:cs="仿宋"/>
          <w:sz w:val="32"/>
          <w:szCs w:val="32"/>
          <w:highlight w:val="none"/>
        </w:rPr>
        <w:t>（一）</w:t>
      </w:r>
      <w:r>
        <w:rPr>
          <w:rFonts w:hint="eastAsia" w:ascii="仿宋_GB2312" w:hAnsi="仿宋" w:eastAsia="仿宋_GB2312" w:cs="仿宋_GB2312"/>
          <w:sz w:val="32"/>
          <w:szCs w:val="32"/>
          <w:highlight w:val="none"/>
          <w:lang w:eastAsia="zh-CN" w:bidi="ar"/>
        </w:rPr>
        <w:t>年度医保质量保证金</w:t>
      </w:r>
      <w:r>
        <w:rPr>
          <w:rFonts w:hint="eastAsia" w:ascii="仿宋" w:hAnsi="仿宋" w:eastAsia="仿宋" w:cs="仿宋"/>
          <w:sz w:val="32"/>
          <w:szCs w:val="32"/>
          <w:highlight w:val="none"/>
          <w:lang w:val="en-US" w:eastAsia="zh-CN"/>
        </w:rPr>
        <w:t>按照协议履约考核</w:t>
      </w:r>
      <w:r>
        <w:rPr>
          <w:rFonts w:hint="eastAsia" w:ascii="仿宋_GB2312" w:hAnsi="仿宋" w:eastAsia="仿宋_GB2312" w:cs="仿宋_GB2312"/>
          <w:sz w:val="32"/>
          <w:szCs w:val="32"/>
          <w:highlight w:val="none"/>
          <w:lang w:val="en-US" w:eastAsia="zh-CN" w:bidi="ar"/>
        </w:rPr>
        <w:t>结果</w:t>
      </w:r>
      <w:r>
        <w:rPr>
          <w:rFonts w:hint="eastAsia" w:ascii="仿宋_GB2312" w:hAnsi="仿宋" w:eastAsia="仿宋_GB2312" w:cs="仿宋_GB2312"/>
          <w:sz w:val="32"/>
          <w:szCs w:val="32"/>
          <w:highlight w:val="none"/>
          <w:lang w:eastAsia="zh-CN" w:bidi="ar"/>
        </w:rPr>
        <w:t>支付；</w:t>
      </w:r>
    </w:p>
    <w:p>
      <w:pPr>
        <w:pStyle w:val="4"/>
        <w:keepNext w:val="0"/>
        <w:keepLines w:val="0"/>
        <w:pageBreakBefore w:val="0"/>
        <w:widowControl/>
        <w:kinsoku/>
        <w:wordWrap/>
        <w:overflowPunct/>
        <w:topLinePunct w:val="0"/>
        <w:autoSpaceDE/>
        <w:autoSpaceDN/>
        <w:bidi w:val="0"/>
        <w:adjustRightInd/>
        <w:snapToGrid/>
        <w:spacing w:after="0" w:line="600" w:lineRule="exact"/>
        <w:ind w:firstLine="640" w:firstLineChars="200"/>
        <w:rPr>
          <w:rFonts w:hint="eastAsia" w:ascii="仿宋" w:hAnsi="仿宋" w:eastAsia="仿宋" w:cs="仿宋"/>
          <w:sz w:val="32"/>
          <w:szCs w:val="32"/>
          <w:highlight w:val="none"/>
          <w:lang w:val="en-US" w:eastAsia="zh-CN"/>
        </w:rPr>
      </w:pPr>
      <w:r>
        <w:rPr>
          <w:rFonts w:hint="eastAsia" w:ascii="仿宋_GB2312" w:hAnsi="仿宋" w:eastAsia="仿宋_GB2312" w:cs="仿宋_GB2312"/>
          <w:sz w:val="32"/>
          <w:szCs w:val="32"/>
          <w:highlight w:val="none"/>
          <w:lang w:eastAsia="zh-CN" w:bidi="ar"/>
        </w:rPr>
        <w:t>（</w:t>
      </w:r>
      <w:r>
        <w:rPr>
          <w:rFonts w:hint="eastAsia" w:ascii="仿宋_GB2312" w:hAnsi="仿宋" w:eastAsia="仿宋_GB2312" w:cs="仿宋_GB2312"/>
          <w:sz w:val="32"/>
          <w:szCs w:val="32"/>
          <w:highlight w:val="none"/>
          <w:lang w:val="en-US" w:eastAsia="zh-CN" w:bidi="ar"/>
        </w:rPr>
        <w:t>二）</w:t>
      </w:r>
      <w:r>
        <w:rPr>
          <w:rFonts w:hint="eastAsia" w:ascii="仿宋" w:hAnsi="仿宋" w:eastAsia="仿宋" w:cs="仿宋"/>
          <w:sz w:val="32"/>
          <w:szCs w:val="32"/>
          <w:highlight w:val="none"/>
        </w:rPr>
        <w:t>降低日常</w:t>
      </w:r>
      <w:r>
        <w:rPr>
          <w:rFonts w:hint="eastAsia" w:ascii="仿宋" w:hAnsi="仿宋" w:eastAsia="仿宋" w:cs="仿宋"/>
          <w:sz w:val="32"/>
          <w:szCs w:val="32"/>
          <w:highlight w:val="none"/>
          <w:lang w:val="en-US" w:eastAsia="zh-CN"/>
        </w:rPr>
        <w:t>现场</w:t>
      </w:r>
      <w:r>
        <w:rPr>
          <w:rFonts w:hint="eastAsia" w:ascii="仿宋" w:hAnsi="仿宋" w:eastAsia="仿宋" w:cs="仿宋"/>
          <w:sz w:val="32"/>
          <w:szCs w:val="32"/>
          <w:highlight w:val="none"/>
        </w:rPr>
        <w:t>检查频次，</w:t>
      </w:r>
      <w:r>
        <w:rPr>
          <w:rFonts w:hint="eastAsia" w:ascii="仿宋_GB2312" w:hAnsi="仿宋" w:eastAsia="仿宋_GB2312" w:cs="仿宋_GB2312"/>
          <w:kern w:val="2"/>
          <w:sz w:val="32"/>
          <w:szCs w:val="32"/>
          <w:highlight w:val="none"/>
          <w:lang w:bidi="ar"/>
        </w:rPr>
        <w:t>除根据投诉举报、大数据筛查、专项检查部署</w:t>
      </w:r>
      <w:r>
        <w:rPr>
          <w:rFonts w:hint="eastAsia" w:ascii="仿宋_GB2312" w:hAnsi="仿宋" w:eastAsia="仿宋_GB2312" w:cs="仿宋_GB2312"/>
          <w:kern w:val="2"/>
          <w:sz w:val="32"/>
          <w:szCs w:val="32"/>
          <w:highlight w:val="none"/>
          <w:lang w:eastAsia="zh-CN" w:bidi="ar"/>
        </w:rPr>
        <w:t>等</w:t>
      </w:r>
      <w:r>
        <w:rPr>
          <w:rFonts w:hint="eastAsia" w:ascii="仿宋_GB2312" w:hAnsi="仿宋" w:eastAsia="仿宋_GB2312" w:cs="仿宋_GB2312"/>
          <w:kern w:val="2"/>
          <w:sz w:val="32"/>
          <w:szCs w:val="32"/>
          <w:highlight w:val="none"/>
          <w:lang w:bidi="ar"/>
        </w:rPr>
        <w:t>进行监督检查外，不另行对其开展检查</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val="en-US" w:eastAsia="zh-CN" w:bidi="ar"/>
        </w:rPr>
      </w:pPr>
      <w:r>
        <w:rPr>
          <w:rFonts w:hint="eastAsia" w:ascii="仿宋_GB2312" w:hAnsi="仿宋" w:eastAsia="仿宋_GB2312" w:cs="仿宋_GB2312"/>
          <w:sz w:val="32"/>
          <w:szCs w:val="32"/>
          <w:highlight w:val="none"/>
          <w:lang w:bidi="ar"/>
        </w:rPr>
        <w:t>（</w:t>
      </w:r>
      <w:r>
        <w:rPr>
          <w:rFonts w:hint="eastAsia" w:ascii="仿宋_GB2312" w:hAnsi="仿宋" w:eastAsia="仿宋_GB2312" w:cs="仿宋_GB2312"/>
          <w:sz w:val="32"/>
          <w:szCs w:val="32"/>
          <w:highlight w:val="none"/>
          <w:lang w:val="en-US" w:eastAsia="zh-CN" w:bidi="ar"/>
        </w:rPr>
        <w:t>三</w:t>
      </w:r>
      <w:r>
        <w:rPr>
          <w:rFonts w:hint="eastAsia" w:ascii="仿宋_GB2312" w:hAnsi="仿宋" w:eastAsia="仿宋_GB2312" w:cs="仿宋_GB2312"/>
          <w:sz w:val="32"/>
          <w:szCs w:val="32"/>
          <w:highlight w:val="none"/>
          <w:lang w:bidi="ar"/>
        </w:rPr>
        <w:t>）</w:t>
      </w:r>
      <w:r>
        <w:rPr>
          <w:rFonts w:hint="eastAsia" w:ascii="仿宋_GB2312" w:hAnsi="仿宋" w:eastAsia="仿宋_GB2312" w:cs="仿宋_GB2312"/>
          <w:sz w:val="32"/>
          <w:szCs w:val="32"/>
          <w:highlight w:val="none"/>
          <w:lang w:val="en-US" w:eastAsia="zh-CN" w:bidi="ar"/>
        </w:rPr>
        <w:t>连续两年评定为A+的，第二个评定为A+的年度可免于现场检查；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4" w:lineRule="atLeast"/>
        <w:ind w:left="0" w:right="180" w:firstLine="640" w:firstLineChars="200"/>
        <w:jc w:val="both"/>
        <w:rPr>
          <w:rFonts w:hint="default" w:ascii="仿宋_GB2312" w:hAnsi="仿宋" w:eastAsia="仿宋_GB2312" w:cs="仿宋_GB2312"/>
          <w:kern w:val="2"/>
          <w:sz w:val="32"/>
          <w:szCs w:val="32"/>
          <w:highlight w:val="none"/>
          <w:lang w:val="en-US" w:eastAsia="zh-CN" w:bidi="ar"/>
        </w:rPr>
      </w:pPr>
      <w:r>
        <w:rPr>
          <w:rFonts w:hint="eastAsia" w:ascii="仿宋_GB2312" w:hAnsi="仿宋" w:eastAsia="仿宋_GB2312" w:cs="仿宋_GB2312"/>
          <w:kern w:val="2"/>
          <w:sz w:val="32"/>
          <w:szCs w:val="32"/>
          <w:highlight w:val="none"/>
          <w:lang w:val="en-US" w:eastAsia="zh-CN" w:bidi="ar"/>
        </w:rPr>
        <w:t>（四）通过医疗保障官方网站等公开平台或其他媒体进行宣传表扬；</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val="en-US" w:eastAsia="zh-CN" w:bidi="ar"/>
        </w:rPr>
      </w:pPr>
      <w:r>
        <w:rPr>
          <w:rFonts w:hint="eastAsia" w:ascii="仿宋_GB2312" w:hAnsi="仿宋" w:eastAsia="仿宋_GB2312" w:cs="仿宋_GB2312"/>
          <w:sz w:val="32"/>
          <w:szCs w:val="32"/>
          <w:highlight w:val="none"/>
          <w:lang w:val="en-US" w:eastAsia="zh-CN" w:bidi="ar"/>
        </w:rPr>
        <w:t>（五）医保评比表彰等予以适当倾斜；</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bidi="ar"/>
        </w:rPr>
      </w:pPr>
      <w:r>
        <w:rPr>
          <w:rFonts w:hint="eastAsia" w:ascii="仿宋_GB2312" w:hAnsi="仿宋" w:eastAsia="仿宋_GB2312" w:cs="仿宋_GB2312"/>
          <w:sz w:val="32"/>
          <w:szCs w:val="32"/>
          <w:highlight w:val="none"/>
          <w:lang w:val="en-US" w:eastAsia="zh-CN" w:bidi="ar"/>
        </w:rPr>
        <w:t>（六）</w:t>
      </w:r>
      <w:r>
        <w:rPr>
          <w:rFonts w:hint="eastAsia" w:ascii="仿宋_GB2312" w:hAnsi="仿宋" w:eastAsia="仿宋_GB2312" w:cs="仿宋_GB2312"/>
          <w:sz w:val="32"/>
          <w:szCs w:val="32"/>
          <w:highlight w:val="none"/>
          <w:lang w:bidi="ar"/>
        </w:rPr>
        <w:t>其他鼓励性措施。</w:t>
      </w:r>
    </w:p>
    <w:p>
      <w:pPr>
        <w:pStyle w:val="4"/>
        <w:keepNext w:val="0"/>
        <w:keepLines w:val="0"/>
        <w:pageBreakBefore w:val="0"/>
        <w:widowControl/>
        <w:kinsoku/>
        <w:wordWrap/>
        <w:overflowPunct/>
        <w:topLinePunct w:val="0"/>
        <w:autoSpaceDE/>
        <w:autoSpaceDN/>
        <w:bidi w:val="0"/>
        <w:adjustRightInd/>
        <w:snapToGrid/>
        <w:spacing w:after="0" w:line="600" w:lineRule="exact"/>
        <w:ind w:firstLine="640"/>
        <w:rPr>
          <w:rFonts w:hint="eastAsia" w:ascii="仿宋" w:hAnsi="仿宋" w:eastAsia="仿宋" w:cs="仿宋"/>
          <w:sz w:val="32"/>
          <w:szCs w:val="32"/>
          <w:highlight w:val="none"/>
        </w:rPr>
      </w:pPr>
      <w:r>
        <w:rPr>
          <w:rFonts w:hint="eastAsia" w:ascii="楷体_GB2312" w:hAnsi="仿宋_GB2312" w:eastAsia="楷体_GB2312" w:cs="Times New Roman"/>
          <w:b/>
          <w:color w:val="000000"/>
          <w:kern w:val="2"/>
          <w:sz w:val="32"/>
          <w:szCs w:val="32"/>
          <w:highlight w:val="none"/>
          <w:lang w:val="en-US" w:eastAsia="zh-CN" w:bidi="ar-SA"/>
        </w:rPr>
        <w:t>第二十一条</w:t>
      </w:r>
      <w:r>
        <w:rPr>
          <w:rFonts w:hint="eastAsia" w:ascii="仿宋" w:hAnsi="仿宋" w:eastAsia="仿宋" w:cs="楷体"/>
          <w:sz w:val="32"/>
          <w:szCs w:val="32"/>
          <w:highlight w:val="none"/>
        </w:rPr>
        <w:t xml:space="preserve"> </w:t>
      </w:r>
      <w:r>
        <w:rPr>
          <w:rFonts w:hint="eastAsia" w:ascii="仿宋" w:hAnsi="仿宋" w:eastAsia="仿宋" w:cs="仿宋"/>
          <w:sz w:val="32"/>
          <w:szCs w:val="32"/>
          <w:highlight w:val="none"/>
        </w:rPr>
        <w:t>对评为</w:t>
      </w:r>
      <w:r>
        <w:rPr>
          <w:rFonts w:hint="eastAsia" w:ascii="仿宋" w:hAnsi="仿宋" w:eastAsia="仿宋" w:cs="仿宋"/>
          <w:sz w:val="32"/>
          <w:szCs w:val="32"/>
          <w:highlight w:val="none"/>
          <w:lang w:val="en-US" w:eastAsia="zh-CN"/>
        </w:rPr>
        <w:t>A、</w:t>
      </w:r>
      <w:r>
        <w:rPr>
          <w:rFonts w:hint="eastAsia" w:ascii="仿宋" w:hAnsi="仿宋" w:eastAsia="仿宋" w:cs="仿宋"/>
          <w:sz w:val="32"/>
          <w:szCs w:val="32"/>
          <w:highlight w:val="none"/>
        </w:rPr>
        <w:t>B级的定点医疗机构</w:t>
      </w:r>
      <w:r>
        <w:rPr>
          <w:rFonts w:hint="eastAsia" w:ascii="仿宋" w:hAnsi="仿宋" w:eastAsia="仿宋" w:cs="仿宋"/>
          <w:sz w:val="32"/>
          <w:szCs w:val="32"/>
          <w:highlight w:val="none"/>
          <w:lang w:val="en-US" w:eastAsia="zh-CN"/>
        </w:rPr>
        <w:t>可</w:t>
      </w:r>
      <w:r>
        <w:rPr>
          <w:rFonts w:hint="eastAsia" w:ascii="仿宋" w:hAnsi="仿宋" w:eastAsia="仿宋" w:cs="仿宋"/>
          <w:sz w:val="32"/>
          <w:szCs w:val="32"/>
          <w:highlight w:val="none"/>
        </w:rPr>
        <w:t>按下列规定进行管理：</w:t>
      </w:r>
    </w:p>
    <w:p>
      <w:pPr>
        <w:pStyle w:val="4"/>
        <w:keepNext w:val="0"/>
        <w:keepLines w:val="0"/>
        <w:pageBreakBefore w:val="0"/>
        <w:widowControl/>
        <w:kinsoku/>
        <w:wordWrap/>
        <w:overflowPunct/>
        <w:topLinePunct w:val="0"/>
        <w:autoSpaceDE/>
        <w:autoSpaceDN/>
        <w:bidi w:val="0"/>
        <w:adjustRightInd/>
        <w:snapToGrid/>
        <w:spacing w:after="0" w:line="600" w:lineRule="exact"/>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（一）年度医保</w:t>
      </w:r>
      <w:r>
        <w:rPr>
          <w:rFonts w:hint="eastAsia" w:ascii="仿宋" w:hAnsi="仿宋" w:eastAsia="仿宋" w:cs="仿宋"/>
          <w:sz w:val="32"/>
          <w:szCs w:val="32"/>
          <w:highlight w:val="none"/>
          <w:lang w:val="en-US" w:eastAsia="zh-CN"/>
        </w:rPr>
        <w:t>质量保证金在协议履约考核结果的基础上，A级且低于1000分的额外扣除质量保证金的5%，</w:t>
      </w:r>
      <w:r>
        <w:rPr>
          <w:rFonts w:hint="eastAsia" w:ascii="仿宋" w:hAnsi="仿宋" w:eastAsia="仿宋" w:cs="仿宋"/>
          <w:sz w:val="32"/>
          <w:szCs w:val="32"/>
          <w:highlight w:val="none"/>
        </w:rPr>
        <w:t>B级</w:t>
      </w:r>
      <w:r>
        <w:rPr>
          <w:rFonts w:hint="eastAsia" w:ascii="仿宋" w:hAnsi="仿宋" w:eastAsia="仿宋" w:cs="仿宋"/>
          <w:sz w:val="32"/>
          <w:szCs w:val="32"/>
          <w:highlight w:val="none"/>
          <w:lang w:val="en-US" w:eastAsia="zh-CN"/>
        </w:rPr>
        <w:t>额外扣除质量保证金的10%</w:t>
      </w:r>
      <w:r>
        <w:rPr>
          <w:rFonts w:hint="eastAsia" w:ascii="仿宋" w:hAnsi="仿宋" w:eastAsia="仿宋" w:cs="仿宋"/>
          <w:sz w:val="32"/>
          <w:szCs w:val="32"/>
          <w:highlight w:val="none"/>
        </w:rPr>
        <w:t>；</w:t>
      </w:r>
    </w:p>
    <w:p>
      <w:pPr>
        <w:pStyle w:val="4"/>
        <w:keepNext w:val="0"/>
        <w:keepLines w:val="0"/>
        <w:pageBreakBefore w:val="0"/>
        <w:widowControl/>
        <w:kinsoku/>
        <w:wordWrap/>
        <w:overflowPunct/>
        <w:topLinePunct w:val="0"/>
        <w:autoSpaceDE/>
        <w:autoSpaceDN/>
        <w:bidi w:val="0"/>
        <w:adjustRightInd/>
        <w:snapToGrid/>
        <w:spacing w:after="0" w:line="60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　　（</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）采取日常检查和专项检查相结合的方式开展监督检查。</w:t>
      </w:r>
    </w:p>
    <w:p>
      <w:pPr>
        <w:pStyle w:val="4"/>
        <w:keepNext w:val="0"/>
        <w:keepLines w:val="0"/>
        <w:pageBreakBefore w:val="0"/>
        <w:widowControl/>
        <w:kinsoku/>
        <w:wordWrap/>
        <w:overflowPunct/>
        <w:topLinePunct w:val="0"/>
        <w:autoSpaceDE/>
        <w:autoSpaceDN/>
        <w:bidi w:val="0"/>
        <w:adjustRightInd/>
        <w:snapToGrid/>
        <w:spacing w:after="0" w:line="60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　　</w:t>
      </w:r>
      <w:r>
        <w:rPr>
          <w:rFonts w:hint="eastAsia" w:ascii="楷体_GB2312" w:hAnsi="仿宋_GB2312" w:eastAsia="楷体_GB2312" w:cs="Times New Roman"/>
          <w:b/>
          <w:color w:val="000000"/>
          <w:kern w:val="2"/>
          <w:sz w:val="32"/>
          <w:szCs w:val="32"/>
          <w:highlight w:val="none"/>
          <w:lang w:val="en-US" w:eastAsia="zh-CN" w:bidi="ar-SA"/>
        </w:rPr>
        <w:t>第二十二条</w:t>
      </w:r>
      <w:r>
        <w:rPr>
          <w:rFonts w:hint="eastAsia" w:ascii="仿宋" w:hAnsi="仿宋" w:eastAsia="仿宋" w:cs="楷体"/>
          <w:sz w:val="32"/>
          <w:szCs w:val="32"/>
          <w:highlight w:val="none"/>
        </w:rPr>
        <w:t xml:space="preserve"> </w:t>
      </w:r>
      <w:r>
        <w:rPr>
          <w:rFonts w:hint="eastAsia" w:ascii="仿宋" w:hAnsi="仿宋" w:eastAsia="仿宋" w:cs="仿宋"/>
          <w:sz w:val="32"/>
          <w:szCs w:val="32"/>
          <w:highlight w:val="none"/>
        </w:rPr>
        <w:t>对评为C</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C-</w:t>
      </w:r>
      <w:r>
        <w:rPr>
          <w:rFonts w:hint="eastAsia" w:ascii="仿宋" w:hAnsi="仿宋" w:eastAsia="仿宋" w:cs="仿宋"/>
          <w:sz w:val="32"/>
          <w:szCs w:val="32"/>
          <w:highlight w:val="none"/>
        </w:rPr>
        <w:t>级的定点医疗机构</w:t>
      </w:r>
      <w:r>
        <w:rPr>
          <w:rFonts w:hint="eastAsia" w:ascii="仿宋" w:hAnsi="仿宋" w:eastAsia="仿宋" w:cs="仿宋"/>
          <w:sz w:val="32"/>
          <w:szCs w:val="32"/>
          <w:highlight w:val="none"/>
          <w:lang w:val="en-US" w:eastAsia="zh-CN"/>
        </w:rPr>
        <w:t>可</w:t>
      </w:r>
      <w:r>
        <w:rPr>
          <w:rFonts w:hint="eastAsia" w:ascii="仿宋" w:hAnsi="仿宋" w:eastAsia="仿宋" w:cs="仿宋"/>
          <w:sz w:val="32"/>
          <w:szCs w:val="32"/>
          <w:highlight w:val="none"/>
        </w:rPr>
        <w:t>按下列规定进行管理：</w:t>
      </w:r>
    </w:p>
    <w:p>
      <w:pPr>
        <w:pStyle w:val="4"/>
        <w:keepNext w:val="0"/>
        <w:keepLines w:val="0"/>
        <w:pageBreakBefore w:val="0"/>
        <w:widowControl/>
        <w:kinsoku/>
        <w:wordWrap/>
        <w:overflowPunct/>
        <w:topLinePunct w:val="0"/>
        <w:autoSpaceDE/>
        <w:autoSpaceDN/>
        <w:bidi w:val="0"/>
        <w:adjustRightInd/>
        <w:snapToGrid/>
        <w:spacing w:after="0"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（一）年度医保</w:t>
      </w:r>
      <w:r>
        <w:rPr>
          <w:rFonts w:hint="eastAsia" w:ascii="仿宋" w:hAnsi="仿宋" w:eastAsia="仿宋" w:cs="仿宋"/>
          <w:sz w:val="32"/>
          <w:szCs w:val="32"/>
          <w:highlight w:val="none"/>
          <w:lang w:val="en-US" w:eastAsia="zh-CN"/>
        </w:rPr>
        <w:t>质量保证金在协议履约考核结果的基础上，</w:t>
      </w:r>
      <w:r>
        <w:rPr>
          <w:rFonts w:hint="eastAsia" w:ascii="仿宋" w:hAnsi="仿宋" w:eastAsia="仿宋" w:cs="仿宋"/>
          <w:sz w:val="32"/>
          <w:szCs w:val="32"/>
          <w:highlight w:val="none"/>
        </w:rPr>
        <w:t>C级</w:t>
      </w:r>
      <w:r>
        <w:rPr>
          <w:rFonts w:hint="eastAsia" w:ascii="仿宋" w:hAnsi="仿宋" w:eastAsia="仿宋" w:cs="仿宋"/>
          <w:sz w:val="32"/>
          <w:szCs w:val="32"/>
          <w:highlight w:val="none"/>
          <w:lang w:val="en-US" w:eastAsia="zh-CN"/>
        </w:rPr>
        <w:t>额外扣除质量保证金的15%，C-</w:t>
      </w:r>
      <w:r>
        <w:rPr>
          <w:rFonts w:hint="eastAsia" w:ascii="仿宋" w:hAnsi="仿宋" w:eastAsia="仿宋" w:cs="仿宋"/>
          <w:sz w:val="32"/>
          <w:szCs w:val="32"/>
          <w:highlight w:val="none"/>
        </w:rPr>
        <w:t>级</w:t>
      </w:r>
      <w:r>
        <w:rPr>
          <w:rFonts w:hint="eastAsia" w:ascii="仿宋" w:hAnsi="仿宋" w:eastAsia="仿宋" w:cs="仿宋"/>
          <w:sz w:val="32"/>
          <w:szCs w:val="32"/>
          <w:highlight w:val="none"/>
          <w:lang w:val="en-US" w:eastAsia="zh-CN"/>
        </w:rPr>
        <w:t>额外扣除质量保证金的20%</w:t>
      </w:r>
      <w:r>
        <w:rPr>
          <w:rFonts w:hint="eastAsia" w:ascii="仿宋" w:hAnsi="仿宋" w:eastAsia="仿宋" w:cs="仿宋"/>
          <w:sz w:val="32"/>
          <w:szCs w:val="32"/>
          <w:highlight w:val="none"/>
        </w:rPr>
        <w:t>；</w:t>
      </w:r>
    </w:p>
    <w:p>
      <w:pPr>
        <w:pStyle w:val="4"/>
        <w:keepNext w:val="0"/>
        <w:keepLines w:val="0"/>
        <w:pageBreakBefore w:val="0"/>
        <w:widowControl/>
        <w:kinsoku/>
        <w:wordWrap/>
        <w:overflowPunct/>
        <w:topLinePunct w:val="0"/>
        <w:autoSpaceDE/>
        <w:autoSpaceDN/>
        <w:bidi w:val="0"/>
        <w:adjustRightInd/>
        <w:snapToGrid/>
        <w:spacing w:after="0"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）采取日常检查、定期检查和专项检查相结合的方式开展监督检查。</w:t>
      </w:r>
    </w:p>
    <w:p>
      <w:pPr>
        <w:pStyle w:val="4"/>
        <w:keepNext w:val="0"/>
        <w:keepLines w:val="0"/>
        <w:pageBreakBefore w:val="0"/>
        <w:widowControl/>
        <w:kinsoku/>
        <w:wordWrap/>
        <w:overflowPunct/>
        <w:topLinePunct w:val="0"/>
        <w:autoSpaceDE/>
        <w:autoSpaceDN/>
        <w:bidi w:val="0"/>
        <w:adjustRightInd/>
        <w:snapToGrid/>
        <w:spacing w:after="0" w:line="600" w:lineRule="exac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　　</w:t>
      </w:r>
      <w:r>
        <w:rPr>
          <w:rFonts w:hint="eastAsia" w:ascii="楷体_GB2312" w:hAnsi="仿宋_GB2312" w:eastAsia="楷体_GB2312" w:cs="Times New Roman"/>
          <w:b/>
          <w:color w:val="000000"/>
          <w:kern w:val="2"/>
          <w:sz w:val="32"/>
          <w:szCs w:val="32"/>
          <w:highlight w:val="none"/>
          <w:lang w:val="en-US" w:eastAsia="zh-CN" w:bidi="ar-SA"/>
        </w:rPr>
        <w:t>第二十三条</w:t>
      </w:r>
      <w:r>
        <w:rPr>
          <w:rFonts w:hint="eastAsia" w:ascii="仿宋" w:hAnsi="仿宋" w:eastAsia="仿宋" w:cs="楷体"/>
          <w:sz w:val="32"/>
          <w:szCs w:val="32"/>
          <w:highlight w:val="none"/>
        </w:rPr>
        <w:t xml:space="preserve"> </w:t>
      </w:r>
      <w:r>
        <w:rPr>
          <w:rFonts w:hint="eastAsia" w:ascii="仿宋" w:hAnsi="仿宋" w:eastAsia="仿宋" w:cs="仿宋"/>
          <w:sz w:val="32"/>
          <w:szCs w:val="32"/>
          <w:highlight w:val="none"/>
        </w:rPr>
        <w:t>对评为D</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D-</w:t>
      </w:r>
      <w:r>
        <w:rPr>
          <w:rFonts w:hint="eastAsia" w:ascii="仿宋" w:hAnsi="仿宋" w:eastAsia="仿宋" w:cs="仿宋"/>
          <w:sz w:val="32"/>
          <w:szCs w:val="32"/>
          <w:highlight w:val="none"/>
        </w:rPr>
        <w:t>级的定点医疗机构</w:t>
      </w:r>
      <w:r>
        <w:rPr>
          <w:rFonts w:hint="eastAsia" w:ascii="仿宋" w:hAnsi="仿宋" w:eastAsia="仿宋" w:cs="仿宋"/>
          <w:sz w:val="32"/>
          <w:szCs w:val="32"/>
          <w:highlight w:val="none"/>
          <w:lang w:val="en-US" w:eastAsia="zh-CN"/>
        </w:rPr>
        <w:t>可</w:t>
      </w:r>
      <w:r>
        <w:rPr>
          <w:rFonts w:hint="eastAsia" w:ascii="仿宋" w:hAnsi="仿宋" w:eastAsia="仿宋" w:cs="仿宋"/>
          <w:sz w:val="32"/>
          <w:szCs w:val="32"/>
          <w:highlight w:val="none"/>
        </w:rPr>
        <w:t>按下列规定进行管理：</w:t>
      </w:r>
    </w:p>
    <w:p>
      <w:pPr>
        <w:pStyle w:val="4"/>
        <w:keepNext w:val="0"/>
        <w:keepLines w:val="0"/>
        <w:pageBreakBefore w:val="0"/>
        <w:widowControl/>
        <w:kinsoku/>
        <w:wordWrap/>
        <w:overflowPunct/>
        <w:topLinePunct w:val="0"/>
        <w:autoSpaceDE/>
        <w:autoSpaceDN/>
        <w:bidi w:val="0"/>
        <w:adjustRightInd/>
        <w:snapToGrid/>
        <w:spacing w:after="0"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（一）年度医保</w:t>
      </w:r>
      <w:r>
        <w:rPr>
          <w:rFonts w:hint="eastAsia" w:ascii="仿宋" w:hAnsi="仿宋" w:eastAsia="仿宋" w:cs="仿宋"/>
          <w:sz w:val="32"/>
          <w:szCs w:val="32"/>
          <w:highlight w:val="none"/>
          <w:lang w:val="en-US" w:eastAsia="zh-CN"/>
        </w:rPr>
        <w:t>质量保证金在协议履约考核结果的基础上，</w:t>
      </w:r>
      <w:r>
        <w:rPr>
          <w:rFonts w:hint="eastAsia" w:ascii="仿宋" w:hAnsi="仿宋" w:eastAsia="仿宋" w:cs="仿宋"/>
          <w:sz w:val="32"/>
          <w:szCs w:val="32"/>
          <w:highlight w:val="none"/>
        </w:rPr>
        <w:t>D级</w:t>
      </w:r>
      <w:r>
        <w:rPr>
          <w:rFonts w:hint="eastAsia" w:ascii="仿宋" w:hAnsi="仿宋" w:eastAsia="仿宋" w:cs="仿宋"/>
          <w:sz w:val="32"/>
          <w:szCs w:val="32"/>
          <w:highlight w:val="none"/>
          <w:lang w:val="en-US" w:eastAsia="zh-CN"/>
        </w:rPr>
        <w:t>额外扣除质量保证金的25%，D-</w:t>
      </w:r>
      <w:r>
        <w:rPr>
          <w:rFonts w:hint="eastAsia" w:ascii="仿宋" w:hAnsi="仿宋" w:eastAsia="仿宋" w:cs="仿宋"/>
          <w:sz w:val="32"/>
          <w:szCs w:val="32"/>
          <w:highlight w:val="none"/>
        </w:rPr>
        <w:t>级</w:t>
      </w:r>
      <w:r>
        <w:rPr>
          <w:rFonts w:hint="eastAsia" w:ascii="仿宋" w:hAnsi="仿宋" w:eastAsia="仿宋" w:cs="仿宋"/>
          <w:sz w:val="32"/>
          <w:szCs w:val="32"/>
          <w:highlight w:val="none"/>
          <w:lang w:val="en-US" w:eastAsia="zh-CN"/>
        </w:rPr>
        <w:t>额外扣除质量保证金的30%</w:t>
      </w:r>
      <w:r>
        <w:rPr>
          <w:rFonts w:hint="eastAsia" w:ascii="仿宋" w:hAnsi="仿宋" w:eastAsia="仿宋" w:cs="仿宋"/>
          <w:sz w:val="32"/>
          <w:szCs w:val="32"/>
          <w:highlight w:val="none"/>
        </w:rPr>
        <w:t>；</w:t>
      </w:r>
    </w:p>
    <w:p>
      <w:pPr>
        <w:pStyle w:val="4"/>
        <w:keepNext w:val="0"/>
        <w:keepLines w:val="0"/>
        <w:pageBreakBefore w:val="0"/>
        <w:widowControl/>
        <w:kinsoku/>
        <w:wordWrap/>
        <w:overflowPunct/>
        <w:topLinePunct w:val="0"/>
        <w:autoSpaceDE/>
        <w:autoSpaceDN/>
        <w:bidi w:val="0"/>
        <w:adjustRightInd/>
        <w:snapToGrid/>
        <w:spacing w:after="0"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）对于年度</w:t>
      </w:r>
      <w:r>
        <w:rPr>
          <w:rFonts w:hint="eastAsia" w:ascii="仿宋" w:hAnsi="仿宋" w:eastAsia="仿宋" w:cs="仿宋"/>
          <w:sz w:val="32"/>
          <w:szCs w:val="32"/>
          <w:highlight w:val="none"/>
          <w:lang w:eastAsia="zh-CN"/>
        </w:rPr>
        <w:t>清算</w:t>
      </w:r>
      <w:r>
        <w:rPr>
          <w:rFonts w:hint="eastAsia" w:ascii="仿宋" w:hAnsi="仿宋" w:eastAsia="仿宋" w:cs="仿宋"/>
          <w:sz w:val="32"/>
          <w:szCs w:val="32"/>
          <w:highlight w:val="none"/>
        </w:rPr>
        <w:t>超出</w:t>
      </w:r>
      <w:r>
        <w:rPr>
          <w:rFonts w:hint="eastAsia" w:ascii="仿宋" w:hAnsi="仿宋" w:eastAsia="仿宋" w:cs="仿宋"/>
          <w:sz w:val="32"/>
          <w:szCs w:val="32"/>
          <w:highlight w:val="none"/>
          <w:lang w:eastAsia="zh-CN"/>
        </w:rPr>
        <w:t>总额控制</w:t>
      </w:r>
      <w:r>
        <w:rPr>
          <w:rFonts w:hint="eastAsia" w:ascii="仿宋" w:hAnsi="仿宋" w:eastAsia="仿宋" w:cs="仿宋"/>
          <w:sz w:val="32"/>
          <w:szCs w:val="32"/>
          <w:highlight w:val="none"/>
        </w:rPr>
        <w:t>部分不予</w:t>
      </w:r>
      <w:r>
        <w:rPr>
          <w:rFonts w:hint="eastAsia" w:ascii="仿宋" w:hAnsi="仿宋" w:eastAsia="仿宋" w:cs="仿宋"/>
          <w:sz w:val="32"/>
          <w:szCs w:val="32"/>
          <w:highlight w:val="none"/>
          <w:lang w:eastAsia="zh-CN"/>
        </w:rPr>
        <w:t>分担</w:t>
      </w:r>
      <w:r>
        <w:rPr>
          <w:rFonts w:hint="eastAsia" w:ascii="仿宋" w:hAnsi="仿宋" w:eastAsia="仿宋" w:cs="仿宋"/>
          <w:sz w:val="32"/>
          <w:szCs w:val="32"/>
          <w:highlight w:val="none"/>
        </w:rPr>
        <w:t>；</w:t>
      </w:r>
    </w:p>
    <w:p>
      <w:pPr>
        <w:pStyle w:val="4"/>
        <w:keepNext w:val="0"/>
        <w:keepLines w:val="0"/>
        <w:pageBreakBefore w:val="0"/>
        <w:widowControl/>
        <w:kinsoku/>
        <w:wordWrap/>
        <w:overflowPunct/>
        <w:topLinePunct w:val="0"/>
        <w:autoSpaceDE/>
        <w:autoSpaceDN/>
        <w:bidi w:val="0"/>
        <w:adjustRightInd/>
        <w:snapToGrid/>
        <w:spacing w:after="0"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）列入重点监管对象，加大监管频次，强化定点医疗机构服务人员身份核验管理。</w:t>
      </w:r>
    </w:p>
    <w:p>
      <w:pPr>
        <w:pStyle w:val="4"/>
        <w:keepNext w:val="0"/>
        <w:keepLines w:val="0"/>
        <w:pageBreakBefore w:val="0"/>
        <w:widowControl/>
        <w:kinsoku/>
        <w:wordWrap/>
        <w:overflowPunct/>
        <w:topLinePunct w:val="0"/>
        <w:autoSpaceDE/>
        <w:autoSpaceDN/>
        <w:bidi w:val="0"/>
        <w:adjustRightInd/>
        <w:snapToGrid/>
        <w:spacing w:after="0"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（四）</w:t>
      </w:r>
      <w:r>
        <w:rPr>
          <w:rFonts w:hint="eastAsia" w:ascii="仿宋" w:hAnsi="仿宋" w:eastAsia="仿宋" w:cs="仿宋"/>
          <w:sz w:val="32"/>
          <w:szCs w:val="32"/>
          <w:highlight w:val="none"/>
        </w:rPr>
        <w:t>由经办机构</w:t>
      </w:r>
      <w:r>
        <w:rPr>
          <w:rFonts w:hint="eastAsia" w:ascii="仿宋" w:hAnsi="仿宋" w:eastAsia="仿宋" w:cs="仿宋"/>
          <w:sz w:val="32"/>
          <w:szCs w:val="32"/>
          <w:highlight w:val="none"/>
          <w:lang w:val="en-US" w:eastAsia="zh-CN"/>
        </w:rPr>
        <w:t>暂停</w:t>
      </w:r>
      <w:r>
        <w:rPr>
          <w:rFonts w:hint="eastAsia" w:ascii="仿宋" w:hAnsi="仿宋" w:eastAsia="仿宋" w:cs="仿宋"/>
          <w:sz w:val="32"/>
          <w:szCs w:val="32"/>
          <w:highlight w:val="none"/>
        </w:rPr>
        <w:t>医保服务协议</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连续两年被评为D</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D-</w:t>
      </w:r>
      <w:r>
        <w:rPr>
          <w:rFonts w:hint="eastAsia" w:ascii="仿宋" w:hAnsi="仿宋" w:eastAsia="仿宋" w:cs="仿宋"/>
          <w:sz w:val="32"/>
          <w:szCs w:val="32"/>
          <w:highlight w:val="none"/>
        </w:rPr>
        <w:t>级的，解除服务协议</w:t>
      </w:r>
      <w:r>
        <w:rPr>
          <w:rFonts w:hint="eastAsia" w:ascii="仿宋" w:hAnsi="仿宋" w:eastAsia="仿宋" w:cs="仿宋"/>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600" w:lineRule="exact"/>
        <w:rPr>
          <w:rFonts w:hint="eastAsia" w:ascii="仿宋_GB2312" w:hAnsi="仿宋" w:eastAsia="仿宋_GB2312" w:cs="仿宋_GB2312"/>
          <w:sz w:val="32"/>
          <w:szCs w:val="32"/>
          <w:highlight w:val="none"/>
          <w:lang w:bidi="ar"/>
        </w:rPr>
      </w:pPr>
      <w:r>
        <w:rPr>
          <w:rFonts w:hint="eastAsia" w:ascii="仿宋_GB2312" w:hAnsi="仿宋" w:eastAsia="仿宋_GB2312" w:cs="仿宋_GB2312"/>
          <w:sz w:val="32"/>
          <w:szCs w:val="32"/>
          <w:highlight w:val="none"/>
          <w:lang w:bidi="ar"/>
        </w:rPr>
        <w:t>　　</w:t>
      </w:r>
      <w:r>
        <w:rPr>
          <w:rFonts w:hint="eastAsia" w:ascii="楷体_GB2312" w:hAnsi="仿宋_GB2312" w:eastAsia="楷体_GB2312" w:cs="Times New Roman"/>
          <w:b/>
          <w:color w:val="000000"/>
          <w:kern w:val="2"/>
          <w:sz w:val="32"/>
          <w:szCs w:val="32"/>
          <w:highlight w:val="none"/>
          <w:lang w:val="en-US" w:eastAsia="zh-CN" w:bidi="ar-SA"/>
        </w:rPr>
        <w:t xml:space="preserve">第二十四条 </w:t>
      </w:r>
      <w:r>
        <w:rPr>
          <w:rFonts w:hint="eastAsia" w:ascii="仿宋_GB2312" w:hAnsi="仿宋" w:eastAsia="仿宋_GB2312" w:cs="仿宋_GB2312"/>
          <w:sz w:val="32"/>
          <w:szCs w:val="32"/>
          <w:highlight w:val="none"/>
          <w:lang w:bidi="ar"/>
        </w:rPr>
        <w:t>对评为A</w:t>
      </w:r>
      <w:r>
        <w:rPr>
          <w:rFonts w:hint="eastAsia" w:ascii="仿宋_GB2312" w:hAnsi="仿宋" w:eastAsia="仿宋_GB2312" w:cs="仿宋_GB2312"/>
          <w:sz w:val="32"/>
          <w:szCs w:val="32"/>
          <w:highlight w:val="none"/>
          <w:lang w:val="en-US" w:eastAsia="zh-CN" w:bidi="ar"/>
        </w:rPr>
        <w:t>+</w:t>
      </w:r>
      <w:r>
        <w:rPr>
          <w:rFonts w:hint="eastAsia" w:ascii="仿宋_GB2312" w:hAnsi="仿宋" w:eastAsia="仿宋_GB2312" w:cs="仿宋_GB2312"/>
          <w:sz w:val="32"/>
          <w:szCs w:val="32"/>
          <w:highlight w:val="none"/>
          <w:lang w:bidi="ar"/>
        </w:rPr>
        <w:t>级的定点零售药店</w:t>
      </w:r>
      <w:r>
        <w:rPr>
          <w:rFonts w:hint="eastAsia" w:ascii="仿宋_GB2312" w:hAnsi="仿宋" w:eastAsia="仿宋_GB2312" w:cs="仿宋_GB2312"/>
          <w:sz w:val="32"/>
          <w:szCs w:val="32"/>
          <w:highlight w:val="none"/>
          <w:lang w:val="en-US" w:eastAsia="zh-CN" w:bidi="ar"/>
        </w:rPr>
        <w:t>可</w:t>
      </w:r>
      <w:r>
        <w:rPr>
          <w:rFonts w:hint="eastAsia" w:ascii="仿宋_GB2312" w:hAnsi="仿宋" w:eastAsia="仿宋_GB2312" w:cs="仿宋_GB2312"/>
          <w:sz w:val="32"/>
          <w:szCs w:val="32"/>
          <w:highlight w:val="none"/>
          <w:lang w:bidi="ar"/>
        </w:rPr>
        <w:t>按下列规定进行管理：</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bidi="ar"/>
        </w:rPr>
      </w:pPr>
      <w:r>
        <w:rPr>
          <w:rFonts w:hint="eastAsia" w:ascii="仿宋_GB2312" w:hAnsi="仿宋" w:eastAsia="仿宋_GB2312" w:cs="仿宋_GB2312"/>
          <w:sz w:val="32"/>
          <w:szCs w:val="32"/>
          <w:highlight w:val="none"/>
          <w:lang w:bidi="ar"/>
        </w:rPr>
        <w:t>（</w:t>
      </w:r>
      <w:r>
        <w:rPr>
          <w:rFonts w:hint="eastAsia" w:ascii="仿宋_GB2312" w:hAnsi="仿宋" w:eastAsia="仿宋_GB2312" w:cs="仿宋_GB2312"/>
          <w:sz w:val="32"/>
          <w:szCs w:val="32"/>
          <w:highlight w:val="none"/>
          <w:lang w:eastAsia="zh-CN" w:bidi="ar"/>
        </w:rPr>
        <w:t>一</w:t>
      </w:r>
      <w:r>
        <w:rPr>
          <w:rFonts w:hint="eastAsia" w:ascii="仿宋_GB2312" w:hAnsi="仿宋" w:eastAsia="仿宋_GB2312" w:cs="仿宋_GB2312"/>
          <w:sz w:val="32"/>
          <w:szCs w:val="32"/>
          <w:highlight w:val="none"/>
          <w:lang w:bidi="ar"/>
        </w:rPr>
        <w:t>）降低日常</w:t>
      </w:r>
      <w:r>
        <w:rPr>
          <w:rFonts w:hint="eastAsia" w:ascii="仿宋_GB2312" w:hAnsi="仿宋" w:eastAsia="仿宋_GB2312" w:cs="仿宋_GB2312"/>
          <w:sz w:val="32"/>
          <w:szCs w:val="32"/>
          <w:highlight w:val="none"/>
          <w:lang w:val="en-US" w:eastAsia="zh-CN" w:bidi="ar"/>
        </w:rPr>
        <w:t>现场</w:t>
      </w:r>
      <w:r>
        <w:rPr>
          <w:rFonts w:hint="eastAsia" w:ascii="仿宋_GB2312" w:hAnsi="仿宋" w:eastAsia="仿宋_GB2312" w:cs="仿宋_GB2312"/>
          <w:sz w:val="32"/>
          <w:szCs w:val="32"/>
          <w:highlight w:val="none"/>
          <w:lang w:bidi="ar"/>
        </w:rPr>
        <w:t>检查频次，除根据投诉举报、大数据筛查、专项检查部署进行监督检查外，不另行对其开展</w:t>
      </w:r>
      <w:r>
        <w:rPr>
          <w:rFonts w:hint="eastAsia" w:ascii="仿宋_GB2312" w:hAnsi="仿宋" w:eastAsia="仿宋_GB2312" w:cs="仿宋_GB2312"/>
          <w:sz w:val="32"/>
          <w:szCs w:val="32"/>
          <w:highlight w:val="none"/>
          <w:lang w:eastAsia="zh-CN" w:bidi="ar"/>
        </w:rPr>
        <w:t>现场</w:t>
      </w:r>
      <w:r>
        <w:rPr>
          <w:rFonts w:hint="eastAsia" w:ascii="仿宋_GB2312" w:hAnsi="仿宋" w:eastAsia="仿宋_GB2312" w:cs="仿宋_GB2312"/>
          <w:sz w:val="32"/>
          <w:szCs w:val="32"/>
          <w:highlight w:val="none"/>
          <w:lang w:bidi="ar"/>
        </w:rPr>
        <w:t>检查；</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val="en-US" w:eastAsia="zh-CN" w:bidi="ar"/>
        </w:rPr>
      </w:pPr>
      <w:r>
        <w:rPr>
          <w:rFonts w:hint="eastAsia" w:ascii="仿宋_GB2312" w:hAnsi="仿宋" w:eastAsia="仿宋_GB2312" w:cs="仿宋_GB2312"/>
          <w:sz w:val="32"/>
          <w:szCs w:val="32"/>
          <w:highlight w:val="none"/>
          <w:lang w:bidi="ar"/>
        </w:rPr>
        <w:t>（</w:t>
      </w:r>
      <w:r>
        <w:rPr>
          <w:rFonts w:hint="eastAsia" w:ascii="仿宋_GB2312" w:hAnsi="仿宋" w:eastAsia="仿宋_GB2312" w:cs="仿宋_GB2312"/>
          <w:sz w:val="32"/>
          <w:szCs w:val="32"/>
          <w:highlight w:val="none"/>
          <w:lang w:eastAsia="zh-CN" w:bidi="ar"/>
        </w:rPr>
        <w:t>二</w:t>
      </w:r>
      <w:r>
        <w:rPr>
          <w:rFonts w:hint="eastAsia" w:ascii="仿宋_GB2312" w:hAnsi="仿宋" w:eastAsia="仿宋_GB2312" w:cs="仿宋_GB2312"/>
          <w:sz w:val="32"/>
          <w:szCs w:val="32"/>
          <w:highlight w:val="none"/>
          <w:lang w:bidi="ar"/>
        </w:rPr>
        <w:t>）</w:t>
      </w:r>
      <w:r>
        <w:rPr>
          <w:rFonts w:hint="eastAsia" w:ascii="仿宋_GB2312" w:hAnsi="仿宋" w:eastAsia="仿宋_GB2312" w:cs="仿宋_GB2312"/>
          <w:sz w:val="32"/>
          <w:szCs w:val="32"/>
          <w:highlight w:val="none"/>
          <w:lang w:val="en-US" w:eastAsia="zh-CN" w:bidi="ar"/>
        </w:rPr>
        <w:t>连续两年评定为A+的，第二个评定为A+的年度可免于现场检查；</w:t>
      </w:r>
    </w:p>
    <w:p>
      <w:pPr>
        <w:keepNext w:val="0"/>
        <w:keepLines w:val="0"/>
        <w:pageBreakBefore w:val="0"/>
        <w:widowControl/>
        <w:kinsoku/>
        <w:wordWrap/>
        <w:overflowPunct/>
        <w:topLinePunct w:val="0"/>
        <w:autoSpaceDE/>
        <w:autoSpaceDN/>
        <w:bidi w:val="0"/>
        <w:adjustRightInd/>
        <w:snapToGrid/>
        <w:spacing w:line="600" w:lineRule="exact"/>
        <w:ind w:firstLine="630"/>
        <w:rPr>
          <w:rFonts w:hint="default" w:ascii="仿宋_GB2312" w:hAnsi="仿宋" w:eastAsia="仿宋_GB2312" w:cs="仿宋_GB2312"/>
          <w:sz w:val="32"/>
          <w:szCs w:val="32"/>
          <w:highlight w:val="none"/>
          <w:lang w:val="en-US" w:eastAsia="zh-CN" w:bidi="ar"/>
        </w:rPr>
      </w:pPr>
      <w:r>
        <w:rPr>
          <w:rFonts w:hint="eastAsia" w:ascii="仿宋_GB2312" w:hAnsi="仿宋" w:eastAsia="仿宋_GB2312" w:cs="仿宋_GB2312"/>
          <w:sz w:val="32"/>
          <w:szCs w:val="32"/>
          <w:highlight w:val="none"/>
          <w:lang w:val="en-US" w:eastAsia="zh-CN" w:bidi="ar"/>
        </w:rPr>
        <w:t>（三）通过医疗保障官方网站等公开平台或其他媒体进行宣传表扬；</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val="en-US" w:eastAsia="zh-CN" w:bidi="ar"/>
        </w:rPr>
      </w:pPr>
      <w:r>
        <w:rPr>
          <w:rFonts w:hint="eastAsia" w:ascii="仿宋_GB2312" w:hAnsi="仿宋" w:eastAsia="仿宋_GB2312" w:cs="仿宋_GB2312"/>
          <w:sz w:val="32"/>
          <w:szCs w:val="32"/>
          <w:highlight w:val="none"/>
          <w:lang w:val="en-US" w:eastAsia="zh-CN" w:bidi="ar"/>
        </w:rPr>
        <w:t>（四）医保评比表彰等予以适当倾斜；</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bidi="ar"/>
        </w:rPr>
      </w:pPr>
      <w:r>
        <w:rPr>
          <w:rFonts w:hint="eastAsia" w:ascii="仿宋_GB2312" w:hAnsi="仿宋" w:eastAsia="仿宋_GB2312" w:cs="仿宋_GB2312"/>
          <w:sz w:val="32"/>
          <w:szCs w:val="32"/>
          <w:highlight w:val="none"/>
          <w:lang w:val="en-US" w:eastAsia="zh-CN" w:bidi="ar"/>
        </w:rPr>
        <w:t>（五）</w:t>
      </w:r>
      <w:r>
        <w:rPr>
          <w:rFonts w:hint="eastAsia" w:ascii="仿宋_GB2312" w:hAnsi="仿宋" w:eastAsia="仿宋_GB2312" w:cs="仿宋_GB2312"/>
          <w:sz w:val="32"/>
          <w:szCs w:val="32"/>
          <w:highlight w:val="none"/>
          <w:lang w:bidi="ar"/>
        </w:rPr>
        <w:t>其他鼓励性措施。</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bidi="ar"/>
        </w:rPr>
      </w:pPr>
      <w:r>
        <w:rPr>
          <w:rFonts w:hint="eastAsia" w:ascii="楷体_GB2312" w:hAnsi="仿宋_GB2312" w:eastAsia="楷体_GB2312" w:cs="Times New Roman"/>
          <w:b/>
          <w:color w:val="000000"/>
          <w:kern w:val="2"/>
          <w:sz w:val="32"/>
          <w:szCs w:val="32"/>
          <w:highlight w:val="none"/>
          <w:lang w:val="en-US" w:eastAsia="zh-CN" w:bidi="ar-SA"/>
        </w:rPr>
        <w:t xml:space="preserve">第二十五条 </w:t>
      </w:r>
      <w:r>
        <w:rPr>
          <w:rFonts w:hint="eastAsia" w:ascii="仿宋_GB2312" w:hAnsi="仿宋" w:eastAsia="仿宋_GB2312" w:cs="仿宋_GB2312"/>
          <w:sz w:val="32"/>
          <w:szCs w:val="32"/>
          <w:highlight w:val="none"/>
          <w:lang w:bidi="ar"/>
        </w:rPr>
        <w:t>对评为</w:t>
      </w:r>
      <w:r>
        <w:rPr>
          <w:rFonts w:hint="eastAsia" w:ascii="仿宋_GB2312" w:hAnsi="仿宋" w:eastAsia="仿宋_GB2312" w:cs="仿宋_GB2312"/>
          <w:sz w:val="32"/>
          <w:szCs w:val="32"/>
          <w:highlight w:val="none"/>
          <w:lang w:val="en-US" w:eastAsia="zh-CN" w:bidi="ar"/>
        </w:rPr>
        <w:t>A、</w:t>
      </w:r>
      <w:r>
        <w:rPr>
          <w:rFonts w:hint="eastAsia" w:ascii="仿宋_GB2312" w:hAnsi="仿宋" w:eastAsia="仿宋_GB2312" w:cs="仿宋_GB2312"/>
          <w:sz w:val="32"/>
          <w:szCs w:val="32"/>
          <w:highlight w:val="none"/>
          <w:lang w:bidi="ar"/>
        </w:rPr>
        <w:t>B级的定点零售药店</w:t>
      </w:r>
      <w:r>
        <w:rPr>
          <w:rFonts w:hint="eastAsia" w:ascii="仿宋_GB2312" w:hAnsi="仿宋" w:eastAsia="仿宋_GB2312" w:cs="仿宋_GB2312"/>
          <w:sz w:val="32"/>
          <w:szCs w:val="32"/>
          <w:highlight w:val="none"/>
          <w:lang w:val="en-US" w:eastAsia="zh-CN" w:bidi="ar"/>
        </w:rPr>
        <w:t>可</w:t>
      </w:r>
      <w:r>
        <w:rPr>
          <w:rFonts w:hint="eastAsia" w:ascii="仿宋_GB2312" w:hAnsi="仿宋" w:eastAsia="仿宋_GB2312" w:cs="仿宋_GB2312"/>
          <w:sz w:val="32"/>
          <w:szCs w:val="32"/>
          <w:highlight w:val="none"/>
          <w:lang w:bidi="ar"/>
        </w:rPr>
        <w:t>按下列规定进行管理：</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bidi="ar"/>
        </w:rPr>
      </w:pPr>
      <w:r>
        <w:rPr>
          <w:rFonts w:hint="eastAsia" w:ascii="仿宋_GB2312" w:hAnsi="仿宋" w:eastAsia="仿宋_GB2312" w:cs="仿宋_GB2312"/>
          <w:sz w:val="32"/>
          <w:szCs w:val="32"/>
          <w:highlight w:val="none"/>
          <w:lang w:bidi="ar"/>
        </w:rPr>
        <w:t>采取日常检查和专项检查相结合的方式开展监督检查。</w:t>
      </w:r>
    </w:p>
    <w:p>
      <w:pPr>
        <w:keepNext w:val="0"/>
        <w:keepLines w:val="0"/>
        <w:pageBreakBefore w:val="0"/>
        <w:widowControl/>
        <w:kinsoku/>
        <w:wordWrap/>
        <w:overflowPunct/>
        <w:topLinePunct w:val="0"/>
        <w:autoSpaceDE/>
        <w:autoSpaceDN/>
        <w:bidi w:val="0"/>
        <w:adjustRightInd/>
        <w:snapToGrid/>
        <w:spacing w:line="600" w:lineRule="exact"/>
        <w:ind w:firstLine="641"/>
        <w:rPr>
          <w:rFonts w:hint="eastAsia" w:ascii="仿宋_GB2312" w:hAnsi="仿宋" w:eastAsia="仿宋_GB2312" w:cs="仿宋_GB2312"/>
          <w:sz w:val="32"/>
          <w:szCs w:val="32"/>
          <w:highlight w:val="none"/>
          <w:lang w:bidi="ar"/>
        </w:rPr>
      </w:pPr>
      <w:r>
        <w:rPr>
          <w:rFonts w:hint="eastAsia" w:ascii="楷体_GB2312" w:hAnsi="仿宋_GB2312" w:eastAsia="楷体_GB2312" w:cs="Times New Roman"/>
          <w:b/>
          <w:color w:val="000000"/>
          <w:kern w:val="2"/>
          <w:sz w:val="32"/>
          <w:szCs w:val="32"/>
          <w:highlight w:val="none"/>
          <w:lang w:val="en-US" w:eastAsia="zh-CN" w:bidi="ar-SA"/>
        </w:rPr>
        <w:t>第二十六条</w:t>
      </w:r>
      <w:r>
        <w:rPr>
          <w:rFonts w:hint="eastAsia" w:ascii="仿宋_GB2312" w:hAnsi="仿宋" w:eastAsia="仿宋_GB2312" w:cs="仿宋_GB2312"/>
          <w:sz w:val="32"/>
          <w:szCs w:val="32"/>
          <w:highlight w:val="none"/>
          <w:lang w:bidi="ar"/>
        </w:rPr>
        <w:t xml:space="preserve"> 对评为C</w:t>
      </w:r>
      <w:r>
        <w:rPr>
          <w:rFonts w:hint="eastAsia" w:ascii="仿宋_GB2312" w:hAnsi="仿宋" w:eastAsia="仿宋_GB2312" w:cs="仿宋_GB2312"/>
          <w:sz w:val="32"/>
          <w:szCs w:val="32"/>
          <w:highlight w:val="none"/>
          <w:lang w:eastAsia="zh-CN" w:bidi="ar"/>
        </w:rPr>
        <w:t>、</w:t>
      </w:r>
      <w:r>
        <w:rPr>
          <w:rFonts w:hint="eastAsia" w:ascii="仿宋_GB2312" w:hAnsi="仿宋" w:eastAsia="仿宋_GB2312" w:cs="仿宋_GB2312"/>
          <w:sz w:val="32"/>
          <w:szCs w:val="32"/>
          <w:highlight w:val="none"/>
          <w:lang w:val="en-US" w:eastAsia="zh-CN" w:bidi="ar"/>
        </w:rPr>
        <w:t>C-</w:t>
      </w:r>
      <w:r>
        <w:rPr>
          <w:rFonts w:hint="eastAsia" w:ascii="仿宋_GB2312" w:hAnsi="仿宋" w:eastAsia="仿宋_GB2312" w:cs="仿宋_GB2312"/>
          <w:sz w:val="32"/>
          <w:szCs w:val="32"/>
          <w:highlight w:val="none"/>
          <w:lang w:bidi="ar"/>
        </w:rPr>
        <w:t>级的定点零售药店</w:t>
      </w:r>
      <w:r>
        <w:rPr>
          <w:rFonts w:hint="eastAsia" w:ascii="仿宋_GB2312" w:hAnsi="仿宋" w:eastAsia="仿宋_GB2312" w:cs="仿宋_GB2312"/>
          <w:sz w:val="32"/>
          <w:szCs w:val="32"/>
          <w:highlight w:val="none"/>
          <w:lang w:val="en-US" w:eastAsia="zh-CN" w:bidi="ar"/>
        </w:rPr>
        <w:t>可</w:t>
      </w:r>
      <w:r>
        <w:rPr>
          <w:rFonts w:hint="eastAsia" w:ascii="仿宋_GB2312" w:hAnsi="仿宋" w:eastAsia="仿宋_GB2312" w:cs="仿宋_GB2312"/>
          <w:sz w:val="32"/>
          <w:szCs w:val="32"/>
          <w:highlight w:val="none"/>
          <w:lang w:bidi="ar"/>
        </w:rPr>
        <w:t>按下列规定进行管理：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4" w:lineRule="atLeast"/>
        <w:ind w:left="180" w:right="180" w:firstLine="640"/>
        <w:jc w:val="both"/>
        <w:rPr>
          <w:rFonts w:hint="eastAsia" w:ascii="仿宋_GB2312" w:hAnsi="仿宋" w:eastAsia="仿宋_GB2312" w:cs="仿宋_GB2312"/>
          <w:sz w:val="32"/>
          <w:szCs w:val="32"/>
          <w:highlight w:val="none"/>
          <w:lang w:bidi="ar"/>
        </w:rPr>
      </w:pPr>
      <w:r>
        <w:rPr>
          <w:rFonts w:hint="eastAsia" w:ascii="仿宋" w:hAnsi="仿宋" w:eastAsia="仿宋" w:cs="仿宋"/>
          <w:color w:val="333333"/>
          <w:sz w:val="32"/>
          <w:szCs w:val="32"/>
          <w:highlight w:val="none"/>
          <w:shd w:val="clear" w:color="auto" w:fill="FFFFFF"/>
          <w:lang w:bidi="ar-SA"/>
        </w:rPr>
        <w:t>采</w:t>
      </w:r>
      <w:r>
        <w:rPr>
          <w:rFonts w:hint="eastAsia" w:ascii="仿宋_GB2312" w:hAnsi="仿宋" w:eastAsia="仿宋_GB2312" w:cs="仿宋_GB2312"/>
          <w:sz w:val="32"/>
          <w:szCs w:val="32"/>
          <w:highlight w:val="none"/>
          <w:lang w:bidi="ar"/>
        </w:rPr>
        <w:t>取日常检查、定期检查和专项检查相结合的方式开展监督检查。</w:t>
      </w:r>
    </w:p>
    <w:p>
      <w:pPr>
        <w:widowControl/>
        <w:spacing w:line="600" w:lineRule="exact"/>
        <w:ind w:firstLine="643" w:firstLineChars="200"/>
        <w:rPr>
          <w:rFonts w:hint="eastAsia" w:ascii="仿宋_GB2312" w:hAnsi="仿宋" w:eastAsia="仿宋_GB2312" w:cs="仿宋_GB2312"/>
          <w:sz w:val="32"/>
          <w:szCs w:val="32"/>
          <w:highlight w:val="none"/>
          <w:lang w:bidi="ar"/>
        </w:rPr>
      </w:pPr>
      <w:r>
        <w:rPr>
          <w:rFonts w:hint="eastAsia" w:ascii="楷体_GB2312" w:hAnsi="仿宋_GB2312" w:eastAsia="楷体_GB2312" w:cs="Times New Roman"/>
          <w:b/>
          <w:color w:val="000000"/>
          <w:kern w:val="2"/>
          <w:sz w:val="32"/>
          <w:szCs w:val="32"/>
          <w:highlight w:val="none"/>
          <w:lang w:val="en-US" w:eastAsia="zh-CN" w:bidi="ar-SA"/>
        </w:rPr>
        <w:t xml:space="preserve">第二十七条 </w:t>
      </w:r>
      <w:r>
        <w:rPr>
          <w:rFonts w:hint="eastAsia" w:ascii="仿宋_GB2312" w:hAnsi="仿宋" w:eastAsia="仿宋_GB2312" w:cs="仿宋_GB2312"/>
          <w:sz w:val="32"/>
          <w:szCs w:val="32"/>
          <w:highlight w:val="none"/>
          <w:lang w:bidi="ar"/>
        </w:rPr>
        <w:t>对评为D</w:t>
      </w:r>
      <w:r>
        <w:rPr>
          <w:rFonts w:hint="eastAsia" w:ascii="仿宋_GB2312" w:hAnsi="仿宋" w:eastAsia="仿宋_GB2312" w:cs="仿宋_GB2312"/>
          <w:sz w:val="32"/>
          <w:szCs w:val="32"/>
          <w:highlight w:val="none"/>
          <w:lang w:eastAsia="zh-CN" w:bidi="ar"/>
        </w:rPr>
        <w:t>、</w:t>
      </w:r>
      <w:r>
        <w:rPr>
          <w:rFonts w:hint="eastAsia" w:ascii="仿宋_GB2312" w:hAnsi="仿宋" w:eastAsia="仿宋_GB2312" w:cs="仿宋_GB2312"/>
          <w:sz w:val="32"/>
          <w:szCs w:val="32"/>
          <w:highlight w:val="none"/>
          <w:lang w:val="en-US" w:eastAsia="zh-CN" w:bidi="ar"/>
        </w:rPr>
        <w:t>D-</w:t>
      </w:r>
      <w:r>
        <w:rPr>
          <w:rFonts w:hint="eastAsia" w:ascii="仿宋_GB2312" w:hAnsi="仿宋" w:eastAsia="仿宋_GB2312" w:cs="仿宋_GB2312"/>
          <w:sz w:val="32"/>
          <w:szCs w:val="32"/>
          <w:highlight w:val="none"/>
          <w:lang w:bidi="ar"/>
        </w:rPr>
        <w:t>级的定点零售药店</w:t>
      </w:r>
      <w:r>
        <w:rPr>
          <w:rFonts w:hint="eastAsia" w:ascii="仿宋_GB2312" w:hAnsi="仿宋" w:eastAsia="仿宋_GB2312" w:cs="仿宋_GB2312"/>
          <w:sz w:val="32"/>
          <w:szCs w:val="32"/>
          <w:highlight w:val="none"/>
          <w:lang w:val="en-US" w:eastAsia="zh-CN" w:bidi="ar"/>
        </w:rPr>
        <w:t>可</w:t>
      </w:r>
      <w:r>
        <w:rPr>
          <w:rFonts w:hint="eastAsia" w:ascii="仿宋_GB2312" w:hAnsi="仿宋" w:eastAsia="仿宋_GB2312" w:cs="仿宋_GB2312"/>
          <w:sz w:val="32"/>
          <w:szCs w:val="32"/>
          <w:highlight w:val="none"/>
          <w:lang w:bidi="ar"/>
        </w:rPr>
        <w:t>按下列规定进行管理：</w:t>
      </w:r>
    </w:p>
    <w:p>
      <w:pPr>
        <w:keepNext w:val="0"/>
        <w:keepLines w:val="0"/>
        <w:pageBreakBefore w:val="0"/>
        <w:widowControl/>
        <w:kinsoku/>
        <w:wordWrap/>
        <w:overflowPunct/>
        <w:topLinePunct w:val="0"/>
        <w:autoSpaceDE/>
        <w:autoSpaceDN/>
        <w:bidi w:val="0"/>
        <w:adjustRightInd/>
        <w:snapToGrid/>
        <w:spacing w:line="600" w:lineRule="exact"/>
        <w:ind w:firstLine="640"/>
        <w:rPr>
          <w:rFonts w:hint="eastAsia" w:ascii="仿宋_GB2312" w:hAnsi="仿宋" w:eastAsia="仿宋_GB2312" w:cs="仿宋_GB2312"/>
          <w:sz w:val="32"/>
          <w:szCs w:val="32"/>
          <w:highlight w:val="none"/>
          <w:lang w:eastAsia="zh-CN" w:bidi="ar"/>
        </w:rPr>
      </w:pPr>
      <w:r>
        <w:rPr>
          <w:rFonts w:hint="eastAsia" w:ascii="仿宋_GB2312" w:hAnsi="仿宋" w:eastAsia="仿宋_GB2312" w:cs="仿宋_GB2312"/>
          <w:sz w:val="32"/>
          <w:szCs w:val="32"/>
          <w:highlight w:val="none"/>
          <w:lang w:eastAsia="zh-CN" w:bidi="ar"/>
        </w:rPr>
        <w:t>（一）</w:t>
      </w:r>
      <w:r>
        <w:rPr>
          <w:rFonts w:hint="eastAsia" w:ascii="仿宋_GB2312" w:hAnsi="仿宋" w:eastAsia="仿宋_GB2312" w:cs="仿宋_GB2312"/>
          <w:sz w:val="32"/>
          <w:szCs w:val="32"/>
          <w:highlight w:val="none"/>
          <w:lang w:bidi="ar"/>
        </w:rPr>
        <w:t>列入重点监管对象，加大监管频次</w:t>
      </w:r>
      <w:r>
        <w:rPr>
          <w:rFonts w:hint="eastAsia" w:ascii="仿宋_GB2312" w:hAnsi="仿宋" w:eastAsia="仿宋_GB2312" w:cs="仿宋_GB2312"/>
          <w:sz w:val="32"/>
          <w:szCs w:val="32"/>
          <w:highlight w:val="none"/>
          <w:lang w:eastAsia="zh-CN" w:bidi="ar"/>
        </w:rPr>
        <w:t>；</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604" w:lineRule="atLeast"/>
        <w:ind w:right="180" w:firstLine="640" w:firstLineChars="200"/>
        <w:textAlignment w:val="auto"/>
        <w:rPr>
          <w:rFonts w:hint="eastAsia" w:ascii="仿宋_GB2312" w:hAnsi="仿宋" w:eastAsia="仿宋_GB2312" w:cs="仿宋_GB2312"/>
          <w:sz w:val="32"/>
          <w:szCs w:val="32"/>
          <w:highlight w:val="none"/>
          <w:lang w:eastAsia="zh-CN" w:bidi="ar"/>
        </w:rPr>
      </w:pPr>
      <w:r>
        <w:rPr>
          <w:rFonts w:hint="eastAsia" w:ascii="仿宋_GB2312" w:hAnsi="仿宋" w:eastAsia="仿宋_GB2312" w:cs="仿宋_GB2312"/>
          <w:sz w:val="32"/>
          <w:szCs w:val="32"/>
          <w:highlight w:val="none"/>
          <w:lang w:eastAsia="zh-CN" w:bidi="ar"/>
        </w:rPr>
        <w:t>（二）</w:t>
      </w:r>
      <w:r>
        <w:rPr>
          <w:rFonts w:hint="eastAsia" w:ascii="仿宋_GB2312" w:hAnsi="仿宋" w:eastAsia="仿宋_GB2312" w:cs="仿宋_GB2312"/>
          <w:sz w:val="32"/>
          <w:szCs w:val="32"/>
          <w:highlight w:val="none"/>
          <w:lang w:bidi="ar"/>
        </w:rPr>
        <w:t>强化定点零售药店服务人员身份核验管理</w:t>
      </w:r>
      <w:r>
        <w:rPr>
          <w:rFonts w:hint="eastAsia" w:ascii="仿宋_GB2312" w:hAnsi="仿宋" w:eastAsia="仿宋_GB2312" w:cs="仿宋_GB2312"/>
          <w:sz w:val="32"/>
          <w:szCs w:val="32"/>
          <w:highlight w:val="none"/>
          <w:lang w:eastAsia="zh-CN" w:bidi="ar"/>
        </w:rPr>
        <w:t>；</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 w:eastAsia="仿宋_GB2312" w:cs="仿宋_GB2312"/>
          <w:sz w:val="32"/>
          <w:szCs w:val="32"/>
          <w:highlight w:val="none"/>
          <w:lang w:eastAsia="zh-CN" w:bidi="ar"/>
        </w:rPr>
      </w:pPr>
      <w:r>
        <w:rPr>
          <w:rFonts w:hint="eastAsia" w:ascii="仿宋_GB2312" w:hAnsi="仿宋" w:eastAsia="仿宋_GB2312" w:cs="仿宋_GB2312"/>
          <w:sz w:val="32"/>
          <w:szCs w:val="32"/>
          <w:highlight w:val="none"/>
          <w:lang w:eastAsia="zh-CN" w:bidi="ar"/>
        </w:rPr>
        <w:t>（三）若同一连锁药店旗下占比</w:t>
      </w:r>
      <w:r>
        <w:rPr>
          <w:rFonts w:hint="eastAsia" w:ascii="仿宋_GB2312" w:hAnsi="仿宋" w:eastAsia="仿宋_GB2312" w:cs="仿宋_GB2312"/>
          <w:sz w:val="32"/>
          <w:szCs w:val="32"/>
          <w:highlight w:val="none"/>
          <w:lang w:val="en-US" w:eastAsia="zh-CN" w:bidi="ar"/>
        </w:rPr>
        <w:t>10%的分店信用等级为</w:t>
      </w:r>
      <w:r>
        <w:rPr>
          <w:rFonts w:hint="eastAsia" w:ascii="仿宋_GB2312" w:hAnsi="仿宋" w:eastAsia="仿宋_GB2312" w:cs="仿宋_GB2312"/>
          <w:sz w:val="32"/>
          <w:szCs w:val="32"/>
          <w:highlight w:val="none"/>
          <w:lang w:bidi="ar"/>
        </w:rPr>
        <w:t>D</w:t>
      </w:r>
      <w:r>
        <w:rPr>
          <w:rFonts w:hint="eastAsia" w:ascii="仿宋_GB2312" w:hAnsi="仿宋" w:eastAsia="仿宋_GB2312" w:cs="仿宋_GB2312"/>
          <w:sz w:val="32"/>
          <w:szCs w:val="32"/>
          <w:highlight w:val="none"/>
          <w:lang w:eastAsia="zh-CN" w:bidi="ar"/>
        </w:rPr>
        <w:t>、</w:t>
      </w:r>
      <w:r>
        <w:rPr>
          <w:rFonts w:hint="eastAsia" w:ascii="仿宋_GB2312" w:hAnsi="仿宋" w:eastAsia="仿宋_GB2312" w:cs="仿宋_GB2312"/>
          <w:sz w:val="32"/>
          <w:szCs w:val="32"/>
          <w:highlight w:val="none"/>
          <w:lang w:val="en-US" w:eastAsia="zh-CN" w:bidi="ar"/>
        </w:rPr>
        <w:t>D-</w:t>
      </w:r>
      <w:r>
        <w:rPr>
          <w:rFonts w:hint="eastAsia" w:ascii="仿宋_GB2312" w:hAnsi="仿宋" w:eastAsia="仿宋_GB2312" w:cs="仿宋_GB2312"/>
          <w:sz w:val="32"/>
          <w:szCs w:val="32"/>
          <w:highlight w:val="none"/>
          <w:lang w:bidi="ar"/>
        </w:rPr>
        <w:t>级</w:t>
      </w:r>
      <w:r>
        <w:rPr>
          <w:rFonts w:hint="eastAsia" w:ascii="仿宋_GB2312" w:hAnsi="仿宋" w:eastAsia="仿宋_GB2312" w:cs="仿宋_GB2312"/>
          <w:sz w:val="32"/>
          <w:szCs w:val="32"/>
          <w:highlight w:val="none"/>
          <w:lang w:eastAsia="zh-CN" w:bidi="ar"/>
        </w:rPr>
        <w:t>，</w:t>
      </w:r>
      <w:r>
        <w:rPr>
          <w:rFonts w:hint="eastAsia" w:ascii="仿宋_GB2312" w:hAnsi="仿宋" w:eastAsia="仿宋_GB2312" w:cs="仿宋_GB2312"/>
          <w:sz w:val="32"/>
          <w:szCs w:val="32"/>
          <w:highlight w:val="none"/>
          <w:lang w:bidi="ar"/>
        </w:rPr>
        <w:t>则针对品牌下所有分店进行限期自查整改</w:t>
      </w:r>
      <w:r>
        <w:rPr>
          <w:rFonts w:hint="eastAsia" w:ascii="仿宋_GB2312" w:hAnsi="仿宋" w:eastAsia="仿宋_GB2312" w:cs="仿宋_GB2312"/>
          <w:sz w:val="32"/>
          <w:szCs w:val="32"/>
          <w:highlight w:val="none"/>
          <w:lang w:eastAsia="zh-CN" w:bidi="ar"/>
        </w:rPr>
        <w:t>；</w:t>
      </w:r>
    </w:p>
    <w:p>
      <w:pPr>
        <w:keepNext w:val="0"/>
        <w:keepLines w:val="0"/>
        <w:pageBreakBefore w:val="0"/>
        <w:widowControl/>
        <w:kinsoku/>
        <w:wordWrap/>
        <w:overflowPunct/>
        <w:topLinePunct w:val="0"/>
        <w:autoSpaceDE/>
        <w:autoSpaceDN/>
        <w:bidi w:val="0"/>
        <w:adjustRightInd/>
        <w:snapToGrid/>
        <w:spacing w:line="600" w:lineRule="exact"/>
        <w:ind w:firstLine="640"/>
        <w:rPr>
          <w:rFonts w:hint="eastAsia" w:ascii="仿宋_GB2312" w:hAnsi="仿宋" w:eastAsia="仿宋_GB2312" w:cs="仿宋_GB2312"/>
          <w:sz w:val="32"/>
          <w:szCs w:val="32"/>
          <w:highlight w:val="none"/>
          <w:lang w:bidi="ar"/>
        </w:rPr>
      </w:pPr>
      <w:r>
        <w:rPr>
          <w:rFonts w:hint="eastAsia" w:ascii="仿宋_GB2312" w:hAnsi="仿宋" w:eastAsia="仿宋_GB2312" w:cs="仿宋_GB2312"/>
          <w:sz w:val="32"/>
          <w:szCs w:val="32"/>
          <w:highlight w:val="none"/>
          <w:lang w:eastAsia="zh-CN" w:bidi="ar"/>
        </w:rPr>
        <w:t>（四）</w:t>
      </w:r>
      <w:r>
        <w:rPr>
          <w:rFonts w:hint="eastAsia" w:ascii="仿宋_GB2312" w:hAnsi="仿宋" w:eastAsia="仿宋_GB2312" w:cs="仿宋_GB2312"/>
          <w:sz w:val="32"/>
          <w:szCs w:val="32"/>
          <w:highlight w:val="none"/>
          <w:lang w:bidi="ar"/>
        </w:rPr>
        <w:t>由经办机构</w:t>
      </w:r>
      <w:r>
        <w:rPr>
          <w:rFonts w:hint="eastAsia" w:ascii="仿宋_GB2312" w:hAnsi="仿宋" w:eastAsia="仿宋_GB2312" w:cs="仿宋_GB2312"/>
          <w:sz w:val="32"/>
          <w:szCs w:val="32"/>
          <w:highlight w:val="none"/>
          <w:lang w:val="en-US" w:eastAsia="zh-CN" w:bidi="ar"/>
        </w:rPr>
        <w:t>暂停</w:t>
      </w:r>
      <w:r>
        <w:rPr>
          <w:rFonts w:hint="eastAsia" w:ascii="仿宋_GB2312" w:hAnsi="仿宋" w:eastAsia="仿宋_GB2312" w:cs="仿宋_GB2312"/>
          <w:sz w:val="32"/>
          <w:szCs w:val="32"/>
          <w:highlight w:val="none"/>
          <w:lang w:bidi="ar"/>
        </w:rPr>
        <w:t>医保服务协议</w:t>
      </w:r>
      <w:r>
        <w:rPr>
          <w:rFonts w:hint="eastAsia" w:ascii="仿宋_GB2312" w:hAnsi="仿宋" w:eastAsia="仿宋_GB2312" w:cs="仿宋_GB2312"/>
          <w:sz w:val="32"/>
          <w:szCs w:val="32"/>
          <w:highlight w:val="none"/>
          <w:lang w:eastAsia="zh-CN" w:bidi="ar"/>
        </w:rPr>
        <w:t>，</w:t>
      </w:r>
      <w:r>
        <w:rPr>
          <w:rFonts w:hint="eastAsia" w:ascii="仿宋_GB2312" w:hAnsi="仿宋" w:eastAsia="仿宋_GB2312" w:cs="仿宋_GB2312"/>
          <w:sz w:val="32"/>
          <w:szCs w:val="32"/>
          <w:highlight w:val="none"/>
          <w:lang w:bidi="ar"/>
        </w:rPr>
        <w:t>连续两年被评为D</w:t>
      </w:r>
      <w:r>
        <w:rPr>
          <w:rFonts w:hint="eastAsia" w:ascii="仿宋_GB2312" w:hAnsi="仿宋" w:eastAsia="仿宋_GB2312" w:cs="仿宋_GB2312"/>
          <w:sz w:val="32"/>
          <w:szCs w:val="32"/>
          <w:highlight w:val="none"/>
          <w:lang w:eastAsia="zh-CN" w:bidi="ar"/>
        </w:rPr>
        <w:t>、</w:t>
      </w:r>
      <w:r>
        <w:rPr>
          <w:rFonts w:hint="eastAsia" w:ascii="仿宋_GB2312" w:hAnsi="仿宋" w:eastAsia="仿宋_GB2312" w:cs="仿宋_GB2312"/>
          <w:sz w:val="32"/>
          <w:szCs w:val="32"/>
          <w:highlight w:val="none"/>
          <w:lang w:val="en-US" w:eastAsia="zh-CN" w:bidi="ar"/>
        </w:rPr>
        <w:t>D-</w:t>
      </w:r>
      <w:r>
        <w:rPr>
          <w:rFonts w:hint="eastAsia" w:ascii="仿宋_GB2312" w:hAnsi="仿宋" w:eastAsia="仿宋_GB2312" w:cs="仿宋_GB2312"/>
          <w:sz w:val="32"/>
          <w:szCs w:val="32"/>
          <w:highlight w:val="none"/>
          <w:lang w:bidi="ar"/>
        </w:rPr>
        <w:t>级的，解除服务协议</w:t>
      </w:r>
      <w:r>
        <w:rPr>
          <w:rFonts w:hint="eastAsia" w:ascii="仿宋_GB2312" w:hAnsi="仿宋" w:eastAsia="仿宋_GB2312" w:cs="仿宋_GB2312"/>
          <w:sz w:val="32"/>
          <w:szCs w:val="32"/>
          <w:highlight w:val="none"/>
          <w:lang w:eastAsia="zh-CN" w:bidi="ar"/>
        </w:rPr>
        <w:t>。</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bidi="ar"/>
        </w:rPr>
      </w:pPr>
      <w:r>
        <w:rPr>
          <w:rFonts w:hint="eastAsia" w:ascii="楷体_GB2312" w:hAnsi="仿宋_GB2312" w:eastAsia="楷体_GB2312" w:cs="Times New Roman"/>
          <w:b/>
          <w:color w:val="000000"/>
          <w:kern w:val="2"/>
          <w:sz w:val="32"/>
          <w:szCs w:val="32"/>
          <w:highlight w:val="none"/>
          <w:lang w:val="en-US" w:eastAsia="zh-CN" w:bidi="ar-SA"/>
        </w:rPr>
        <w:t xml:space="preserve">第二十八条 </w:t>
      </w:r>
      <w:r>
        <w:rPr>
          <w:rFonts w:hint="eastAsia" w:ascii="仿宋_GB2312" w:hAnsi="仿宋" w:eastAsia="仿宋_GB2312" w:cs="仿宋_GB2312"/>
          <w:sz w:val="32"/>
          <w:szCs w:val="32"/>
          <w:highlight w:val="none"/>
          <w:lang w:bidi="ar"/>
        </w:rPr>
        <w:t>定点</w:t>
      </w:r>
      <w:r>
        <w:rPr>
          <w:rFonts w:hint="eastAsia" w:ascii="仿宋_GB2312" w:hAnsi="仿宋" w:eastAsia="仿宋_GB2312" w:cs="仿宋_GB2312"/>
          <w:sz w:val="32"/>
          <w:szCs w:val="32"/>
          <w:highlight w:val="none"/>
          <w:lang w:val="en-US" w:eastAsia="zh-CN" w:bidi="ar"/>
        </w:rPr>
        <w:t>医药机构</w:t>
      </w:r>
      <w:r>
        <w:rPr>
          <w:rFonts w:hint="eastAsia" w:ascii="仿宋_GB2312" w:hAnsi="仿宋" w:eastAsia="仿宋_GB2312" w:cs="仿宋_GB2312"/>
          <w:sz w:val="32"/>
          <w:szCs w:val="32"/>
          <w:highlight w:val="none"/>
          <w:lang w:bidi="ar"/>
        </w:rPr>
        <w:t>在信用等级评定中有严重弄虚作假行为的，在该评定年度内直接评定为D级。</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val="en-US" w:eastAsia="zh-CN" w:bidi="ar"/>
        </w:rPr>
      </w:pPr>
      <w:r>
        <w:rPr>
          <w:rFonts w:hint="eastAsia" w:ascii="楷体_GB2312" w:hAnsi="仿宋_GB2312" w:eastAsia="楷体_GB2312" w:cs="Times New Roman"/>
          <w:b/>
          <w:color w:val="000000"/>
          <w:kern w:val="2"/>
          <w:sz w:val="32"/>
          <w:szCs w:val="32"/>
          <w:highlight w:val="none"/>
          <w:lang w:val="en-US" w:eastAsia="zh-CN" w:bidi="ar-SA"/>
        </w:rPr>
        <w:t>第二十九条</w:t>
      </w:r>
      <w:r>
        <w:rPr>
          <w:rFonts w:hint="eastAsia" w:ascii="仿宋_GB2312" w:hAnsi="仿宋" w:eastAsia="仿宋_GB2312" w:cs="仿宋_GB2312"/>
          <w:sz w:val="32"/>
          <w:szCs w:val="32"/>
          <w:highlight w:val="none"/>
          <w:lang w:bidi="ar"/>
        </w:rPr>
        <w:t xml:space="preserve"> 建立</w:t>
      </w:r>
      <w:r>
        <w:rPr>
          <w:rFonts w:hint="eastAsia" w:ascii="仿宋_GB2312" w:hAnsi="仿宋" w:eastAsia="仿宋_GB2312" w:cs="仿宋_GB2312"/>
          <w:sz w:val="32"/>
          <w:szCs w:val="32"/>
          <w:highlight w:val="none"/>
          <w:lang w:eastAsia="zh-CN" w:bidi="ar"/>
        </w:rPr>
        <w:t>定点医药机构</w:t>
      </w:r>
      <w:r>
        <w:rPr>
          <w:rFonts w:hint="eastAsia" w:ascii="仿宋_GB2312" w:hAnsi="仿宋" w:eastAsia="仿宋_GB2312" w:cs="仿宋_GB2312"/>
          <w:sz w:val="32"/>
          <w:szCs w:val="32"/>
          <w:highlight w:val="none"/>
          <w:lang w:bidi="ar"/>
        </w:rPr>
        <w:t>医保信用重点监控制度</w:t>
      </w:r>
      <w:r>
        <w:rPr>
          <w:rFonts w:hint="eastAsia" w:ascii="仿宋_GB2312" w:hAnsi="仿宋" w:eastAsia="仿宋_GB2312" w:cs="仿宋_GB2312"/>
          <w:sz w:val="32"/>
          <w:szCs w:val="32"/>
          <w:highlight w:val="none"/>
          <w:lang w:eastAsia="zh-CN" w:bidi="ar"/>
        </w:rPr>
        <w:t>，</w:t>
      </w:r>
      <w:r>
        <w:rPr>
          <w:rFonts w:hint="eastAsia" w:ascii="仿宋_GB2312" w:hAnsi="仿宋" w:eastAsia="仿宋_GB2312" w:cs="仿宋_GB2312"/>
          <w:sz w:val="32"/>
          <w:szCs w:val="32"/>
          <w:highlight w:val="none"/>
          <w:lang w:bidi="ar"/>
        </w:rPr>
        <w:t>结合每年信用评价结果和医保基金监管工作需要，</w:t>
      </w:r>
      <w:r>
        <w:rPr>
          <w:rFonts w:hint="eastAsia" w:ascii="仿宋_GB2312" w:hAnsi="仿宋" w:eastAsia="仿宋_GB2312" w:cs="仿宋_GB2312"/>
          <w:sz w:val="32"/>
          <w:szCs w:val="32"/>
          <w:highlight w:val="none"/>
          <w:lang w:eastAsia="zh-CN" w:bidi="ar"/>
        </w:rPr>
        <w:t>对</w:t>
      </w:r>
      <w:r>
        <w:rPr>
          <w:rFonts w:hint="eastAsia" w:ascii="仿宋_GB2312" w:hAnsi="仿宋" w:eastAsia="仿宋_GB2312" w:cs="仿宋_GB2312"/>
          <w:sz w:val="32"/>
          <w:szCs w:val="32"/>
          <w:highlight w:val="none"/>
          <w:lang w:bidi="ar"/>
        </w:rPr>
        <w:t>D级</w:t>
      </w:r>
      <w:r>
        <w:rPr>
          <w:rFonts w:hint="eastAsia" w:ascii="仿宋_GB2312" w:hAnsi="仿宋" w:eastAsia="仿宋_GB2312" w:cs="仿宋_GB2312"/>
          <w:sz w:val="32"/>
          <w:szCs w:val="32"/>
          <w:highlight w:val="none"/>
          <w:lang w:eastAsia="zh-CN" w:bidi="ar"/>
        </w:rPr>
        <w:t>、</w:t>
      </w:r>
      <w:r>
        <w:rPr>
          <w:rFonts w:hint="eastAsia" w:ascii="仿宋_GB2312" w:hAnsi="仿宋" w:eastAsia="仿宋_GB2312" w:cs="仿宋_GB2312"/>
          <w:sz w:val="32"/>
          <w:szCs w:val="32"/>
          <w:highlight w:val="none"/>
          <w:lang w:val="en-US" w:eastAsia="zh-CN" w:bidi="ar"/>
        </w:rPr>
        <w:t>D-</w:t>
      </w:r>
      <w:r>
        <w:rPr>
          <w:rFonts w:hint="eastAsia" w:ascii="仿宋_GB2312" w:hAnsi="仿宋" w:eastAsia="仿宋_GB2312" w:cs="仿宋_GB2312"/>
          <w:sz w:val="32"/>
          <w:szCs w:val="32"/>
          <w:highlight w:val="none"/>
          <w:lang w:bidi="ar"/>
        </w:rPr>
        <w:t>级</w:t>
      </w:r>
      <w:r>
        <w:rPr>
          <w:rFonts w:hint="eastAsia" w:ascii="仿宋_GB2312" w:hAnsi="仿宋" w:eastAsia="仿宋_GB2312" w:cs="仿宋_GB2312"/>
          <w:sz w:val="32"/>
          <w:szCs w:val="32"/>
          <w:highlight w:val="none"/>
          <w:lang w:eastAsia="zh-CN" w:bidi="ar"/>
        </w:rPr>
        <w:t>定点医药机构</w:t>
      </w:r>
      <w:r>
        <w:rPr>
          <w:rFonts w:hint="eastAsia" w:ascii="仿宋_GB2312" w:hAnsi="仿宋" w:eastAsia="仿宋_GB2312" w:cs="仿宋_GB2312"/>
          <w:sz w:val="32"/>
          <w:szCs w:val="32"/>
          <w:highlight w:val="none"/>
          <w:lang w:val="en-US" w:eastAsia="zh-CN" w:bidi="ar"/>
        </w:rPr>
        <w:t>实行</w:t>
      </w:r>
      <w:r>
        <w:rPr>
          <w:rFonts w:hint="eastAsia" w:ascii="仿宋_GB2312" w:hAnsi="仿宋" w:eastAsia="仿宋_GB2312" w:cs="仿宋_GB2312"/>
          <w:sz w:val="32"/>
          <w:szCs w:val="32"/>
          <w:highlight w:val="none"/>
          <w:lang w:bidi="ar"/>
        </w:rPr>
        <w:t>重点监控，依法依规</w:t>
      </w:r>
      <w:r>
        <w:rPr>
          <w:rFonts w:hint="eastAsia" w:ascii="仿宋_GB2312" w:hAnsi="仿宋" w:eastAsia="仿宋_GB2312" w:cs="仿宋_GB2312"/>
          <w:sz w:val="32"/>
          <w:szCs w:val="32"/>
          <w:highlight w:val="none"/>
          <w:lang w:val="en-US" w:eastAsia="zh-CN" w:bidi="ar"/>
        </w:rPr>
        <w:t>实行</w:t>
      </w:r>
      <w:r>
        <w:rPr>
          <w:rFonts w:hint="eastAsia" w:ascii="仿宋_GB2312" w:hAnsi="仿宋" w:eastAsia="仿宋_GB2312" w:cs="仿宋_GB2312"/>
          <w:sz w:val="32"/>
          <w:szCs w:val="32"/>
          <w:highlight w:val="none"/>
          <w:lang w:bidi="ar"/>
        </w:rPr>
        <w:t>联合惩戒。</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lang w:eastAsia="zh-CN" w:bidi="ar"/>
        </w:rPr>
      </w:pPr>
      <w:r>
        <w:rPr>
          <w:rFonts w:hint="eastAsia" w:ascii="楷体_GB2312" w:hAnsi="仿宋_GB2312" w:eastAsia="楷体_GB2312" w:cs="Times New Roman"/>
          <w:b/>
          <w:color w:val="000000"/>
          <w:kern w:val="2"/>
          <w:sz w:val="32"/>
          <w:szCs w:val="32"/>
          <w:highlight w:val="none"/>
          <w:lang w:val="en-US" w:eastAsia="zh-CN" w:bidi="ar-SA"/>
        </w:rPr>
        <w:t>第三十条</w:t>
      </w:r>
      <w:r>
        <w:rPr>
          <w:rFonts w:hint="eastAsia" w:ascii="仿宋_GB2312" w:hAnsi="仿宋" w:eastAsia="仿宋_GB2312" w:cs="仿宋_GB2312"/>
          <w:color w:val="FF0000"/>
          <w:sz w:val="32"/>
          <w:szCs w:val="32"/>
          <w:highlight w:val="none"/>
          <w:lang w:bidi="ar"/>
        </w:rPr>
        <w:t xml:space="preserve"> </w:t>
      </w:r>
      <w:r>
        <w:rPr>
          <w:rFonts w:hint="eastAsia" w:ascii="仿宋_GB2312" w:hAnsi="仿宋" w:eastAsia="仿宋_GB2312" w:cs="仿宋_GB2312"/>
          <w:sz w:val="32"/>
          <w:szCs w:val="32"/>
          <w:lang w:bidi="ar"/>
        </w:rPr>
        <w:t>医疗保障行政部门应当建立信息披露制度，在每年</w:t>
      </w:r>
      <w:r>
        <w:rPr>
          <w:rFonts w:hint="eastAsia" w:ascii="仿宋_GB2312" w:hAnsi="仿宋" w:eastAsia="仿宋_GB2312" w:cs="仿宋_GB2312"/>
          <w:sz w:val="32"/>
          <w:szCs w:val="32"/>
          <w:lang w:eastAsia="zh-CN" w:bidi="ar"/>
        </w:rPr>
        <w:t>年</w:t>
      </w:r>
      <w:r>
        <w:rPr>
          <w:rFonts w:hint="eastAsia" w:ascii="仿宋_GB2312" w:hAnsi="仿宋" w:eastAsia="仿宋_GB2312" w:cs="仿宋_GB2312"/>
          <w:sz w:val="32"/>
          <w:szCs w:val="32"/>
          <w:lang w:bidi="ar"/>
        </w:rPr>
        <w:t>底前，将确定的</w:t>
      </w:r>
      <w:r>
        <w:rPr>
          <w:rFonts w:hint="eastAsia" w:ascii="仿宋_GB2312" w:hAnsi="仿宋" w:eastAsia="仿宋_GB2312" w:cs="仿宋_GB2312"/>
          <w:sz w:val="32"/>
          <w:szCs w:val="32"/>
          <w:lang w:eastAsia="zh-CN" w:bidi="ar"/>
        </w:rPr>
        <w:t>定点医药机构医保</w:t>
      </w:r>
      <w:r>
        <w:rPr>
          <w:rFonts w:hint="eastAsia" w:ascii="仿宋_GB2312" w:hAnsi="仿宋" w:eastAsia="仿宋_GB2312" w:cs="仿宋_GB2312"/>
          <w:sz w:val="32"/>
          <w:szCs w:val="32"/>
          <w:lang w:bidi="ar"/>
        </w:rPr>
        <w:t>信用等级在本部门或政府网站上公示，及时将医疗保障领域的行政处罚信息、</w:t>
      </w:r>
      <w:r>
        <w:rPr>
          <w:rFonts w:hint="eastAsia" w:ascii="仿宋_GB2312" w:hAnsi="仿宋" w:eastAsia="仿宋_GB2312" w:cs="仿宋_GB2312"/>
          <w:sz w:val="32"/>
          <w:szCs w:val="32"/>
          <w:lang w:eastAsia="zh-CN" w:bidi="ar"/>
        </w:rPr>
        <w:t>严重失信信息</w:t>
      </w:r>
      <w:r>
        <w:rPr>
          <w:rFonts w:hint="eastAsia" w:ascii="仿宋_GB2312" w:hAnsi="仿宋" w:eastAsia="仿宋_GB2312" w:cs="仿宋_GB2312"/>
          <w:sz w:val="32"/>
          <w:szCs w:val="32"/>
          <w:lang w:bidi="ar"/>
        </w:rPr>
        <w:t>推送至省公共</w:t>
      </w:r>
      <w:r>
        <w:rPr>
          <w:rFonts w:hint="eastAsia" w:ascii="仿宋_GB2312" w:hAnsi="仿宋" w:eastAsia="仿宋_GB2312" w:cs="仿宋_GB2312"/>
          <w:sz w:val="32"/>
          <w:szCs w:val="32"/>
          <w:lang w:eastAsia="zh-CN" w:bidi="ar"/>
        </w:rPr>
        <w:t>信用评价信息</w:t>
      </w:r>
      <w:r>
        <w:rPr>
          <w:rFonts w:hint="eastAsia" w:ascii="仿宋_GB2312" w:hAnsi="仿宋" w:eastAsia="仿宋_GB2312" w:cs="仿宋_GB2312"/>
          <w:sz w:val="32"/>
          <w:szCs w:val="32"/>
          <w:lang w:bidi="ar"/>
        </w:rPr>
        <w:t>平台，在“信用中国（山东省）”网站向社会公示</w:t>
      </w:r>
      <w:r>
        <w:rPr>
          <w:rFonts w:hint="eastAsia" w:ascii="仿宋_GB2312" w:hAnsi="仿宋" w:eastAsia="仿宋_GB2312" w:cs="仿宋_GB2312"/>
          <w:sz w:val="32"/>
          <w:szCs w:val="32"/>
          <w:lang w:eastAsia="zh-CN" w:bidi="ar"/>
        </w:rPr>
        <w:t>，并推送至同级市场监管、卫生健康部门</w:t>
      </w:r>
      <w:r>
        <w:rPr>
          <w:rFonts w:hint="eastAsia" w:ascii="仿宋_GB2312" w:hAnsi="仿宋" w:eastAsia="仿宋_GB2312" w:cs="仿宋_GB2312"/>
          <w:sz w:val="32"/>
          <w:szCs w:val="32"/>
          <w:lang w:bidi="ar"/>
        </w:rPr>
        <w:t>。</w:t>
      </w:r>
      <w:r>
        <w:rPr>
          <w:rFonts w:hint="eastAsia" w:ascii="仿宋_GB2312" w:hAnsi="仿宋" w:eastAsia="仿宋_GB2312" w:cs="仿宋_GB2312"/>
          <w:sz w:val="32"/>
          <w:szCs w:val="32"/>
          <w:lang w:eastAsia="zh-CN" w:bidi="ar"/>
        </w:rPr>
        <w:t>各市定点医药机构医保信用评价结果省内互认。</w:t>
      </w:r>
    </w:p>
    <w:p>
      <w:pPr>
        <w:pStyle w:val="2"/>
        <w:rPr>
          <w:highlight w:val="none"/>
        </w:rPr>
      </w:pPr>
    </w:p>
    <w:p>
      <w:pPr>
        <w:keepNext w:val="0"/>
        <w:keepLines w:val="0"/>
        <w:pageBreakBefore w:val="0"/>
        <w:widowControl/>
        <w:kinsoku/>
        <w:wordWrap/>
        <w:overflowPunct/>
        <w:topLinePunct w:val="0"/>
        <w:autoSpaceDE/>
        <w:autoSpaceDN/>
        <w:bidi w:val="0"/>
        <w:adjustRightInd/>
        <w:snapToGrid/>
        <w:spacing w:line="600" w:lineRule="exact"/>
        <w:jc w:val="center"/>
        <w:rPr>
          <w:rFonts w:hint="default" w:ascii="黑体" w:hAnsi="黑体" w:eastAsia="黑体" w:cs="黑体"/>
          <w:bCs/>
          <w:sz w:val="32"/>
          <w:szCs w:val="32"/>
          <w:highlight w:val="none"/>
          <w:lang w:val="en-US" w:eastAsia="zh-CN"/>
        </w:rPr>
      </w:pPr>
      <w:r>
        <w:rPr>
          <w:rFonts w:hint="eastAsia" w:ascii="黑体" w:hAnsi="黑体" w:eastAsia="黑体" w:cs="黑体"/>
          <w:bCs/>
          <w:sz w:val="32"/>
          <w:szCs w:val="32"/>
          <w:highlight w:val="none"/>
        </w:rPr>
        <w:t>第</w:t>
      </w:r>
      <w:r>
        <w:rPr>
          <w:rFonts w:hint="eastAsia" w:ascii="黑体" w:hAnsi="黑体" w:eastAsia="黑体" w:cs="黑体"/>
          <w:bCs/>
          <w:sz w:val="32"/>
          <w:szCs w:val="32"/>
          <w:highlight w:val="none"/>
          <w:lang w:eastAsia="zh-CN"/>
        </w:rPr>
        <w:t>五</w:t>
      </w:r>
      <w:r>
        <w:rPr>
          <w:rFonts w:hint="eastAsia" w:ascii="黑体" w:hAnsi="黑体" w:eastAsia="黑体" w:cs="黑体"/>
          <w:bCs/>
          <w:sz w:val="32"/>
          <w:szCs w:val="32"/>
          <w:highlight w:val="none"/>
        </w:rPr>
        <w:t xml:space="preserve">章  </w:t>
      </w:r>
      <w:r>
        <w:rPr>
          <w:rFonts w:hint="eastAsia" w:ascii="黑体" w:hAnsi="黑体" w:eastAsia="黑体" w:cs="黑体"/>
          <w:bCs/>
          <w:sz w:val="32"/>
          <w:szCs w:val="32"/>
          <w:highlight w:val="none"/>
          <w:lang w:val="en-US" w:eastAsia="zh-CN"/>
        </w:rPr>
        <w:t>信用修复</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楷体_GB2312" w:hAnsi="仿宋_GB2312" w:eastAsia="楷体_GB2312" w:cs="Times New Roman"/>
          <w:b/>
          <w:color w:val="000000"/>
          <w:kern w:val="2"/>
          <w:sz w:val="32"/>
          <w:szCs w:val="32"/>
          <w:highlight w:val="none"/>
          <w:lang w:val="en-US" w:eastAsia="zh-CN" w:bidi="ar-SA"/>
        </w:rPr>
      </w:pPr>
    </w:p>
    <w:p>
      <w:pPr>
        <w:spacing w:line="560" w:lineRule="exact"/>
        <w:ind w:firstLine="643" w:firstLineChars="200"/>
        <w:rPr>
          <w:rFonts w:ascii="仿宋_GB2312" w:eastAsia="仿宋_GB2312"/>
          <w:sz w:val="32"/>
          <w:szCs w:val="32"/>
          <w:highlight w:val="none"/>
        </w:rPr>
      </w:pPr>
      <w:r>
        <w:rPr>
          <w:rFonts w:hint="eastAsia" w:ascii="楷体_GB2312" w:hAnsi="仿宋_GB2312" w:eastAsia="楷体_GB2312" w:cs="Times New Roman"/>
          <w:b/>
          <w:color w:val="000000"/>
          <w:sz w:val="32"/>
          <w:szCs w:val="32"/>
          <w:highlight w:val="none"/>
        </w:rPr>
        <w:t>第</w:t>
      </w:r>
      <w:r>
        <w:rPr>
          <w:rFonts w:hint="eastAsia" w:ascii="楷体_GB2312" w:hAnsi="仿宋_GB2312" w:eastAsia="楷体_GB2312" w:cs="Times New Roman"/>
          <w:b/>
          <w:color w:val="000000"/>
          <w:sz w:val="32"/>
          <w:szCs w:val="32"/>
          <w:highlight w:val="none"/>
          <w:lang w:val="en-US" w:eastAsia="zh-CN"/>
        </w:rPr>
        <w:t>三十一</w:t>
      </w:r>
      <w:r>
        <w:rPr>
          <w:rFonts w:hint="eastAsia" w:ascii="楷体_GB2312" w:hAnsi="仿宋_GB2312" w:eastAsia="楷体_GB2312" w:cs="Times New Roman"/>
          <w:b/>
          <w:color w:val="000000"/>
          <w:sz w:val="32"/>
          <w:szCs w:val="32"/>
          <w:highlight w:val="none"/>
        </w:rPr>
        <w:t>条</w:t>
      </w:r>
      <w:r>
        <w:rPr>
          <w:rFonts w:ascii="仿宋_GB2312" w:eastAsia="仿宋_GB2312"/>
          <w:sz w:val="32"/>
          <w:szCs w:val="32"/>
          <w:highlight w:val="none"/>
        </w:rPr>
        <w:t xml:space="preserve"> </w:t>
      </w:r>
      <w:r>
        <w:rPr>
          <w:rFonts w:hint="eastAsia" w:ascii="仿宋_GB2312" w:eastAsia="仿宋_GB2312"/>
          <w:sz w:val="32"/>
          <w:szCs w:val="32"/>
          <w:highlight w:val="none"/>
        </w:rPr>
        <w:t>医疗保障行政部门建立信用修复制度。信用修复仅适用于</w:t>
      </w:r>
      <w:r>
        <w:rPr>
          <w:rFonts w:hint="eastAsia" w:ascii="仿宋_GB2312" w:eastAsia="仿宋_GB2312"/>
          <w:sz w:val="32"/>
          <w:szCs w:val="32"/>
          <w:highlight w:val="none"/>
          <w:lang w:val="en-US" w:eastAsia="zh-CN"/>
        </w:rPr>
        <w:t>定点医药机构</w:t>
      </w:r>
      <w:r>
        <w:rPr>
          <w:rFonts w:hint="eastAsia" w:ascii="仿宋_GB2312" w:eastAsia="仿宋_GB2312"/>
          <w:sz w:val="32"/>
          <w:szCs w:val="32"/>
          <w:highlight w:val="none"/>
        </w:rPr>
        <w:t>被认定且</w:t>
      </w:r>
      <w:r>
        <w:rPr>
          <w:rFonts w:ascii="仿宋_GB2312" w:eastAsia="仿宋_GB2312"/>
          <w:sz w:val="32"/>
          <w:szCs w:val="32"/>
          <w:highlight w:val="none"/>
        </w:rPr>
        <w:t>记入</w:t>
      </w:r>
      <w:r>
        <w:rPr>
          <w:rFonts w:hint="eastAsia" w:ascii="仿宋_GB2312" w:eastAsia="仿宋_GB2312"/>
          <w:sz w:val="32"/>
          <w:szCs w:val="32"/>
          <w:highlight w:val="none"/>
        </w:rPr>
        <w:t>医保</w:t>
      </w:r>
      <w:r>
        <w:rPr>
          <w:rFonts w:hint="eastAsia" w:ascii="仿宋_GB2312" w:eastAsia="仿宋_GB2312"/>
          <w:sz w:val="32"/>
          <w:szCs w:val="32"/>
          <w:highlight w:val="none"/>
          <w:lang w:eastAsia="zh-CN"/>
        </w:rPr>
        <w:t>信用</w:t>
      </w:r>
      <w:r>
        <w:rPr>
          <w:rFonts w:hint="eastAsia" w:ascii="仿宋_GB2312" w:eastAsia="仿宋_GB2312"/>
          <w:sz w:val="32"/>
          <w:szCs w:val="32"/>
          <w:highlight w:val="none"/>
        </w:rPr>
        <w:t>信息数据</w:t>
      </w:r>
      <w:r>
        <w:rPr>
          <w:rFonts w:hint="eastAsia" w:ascii="仿宋_GB2312" w:eastAsia="仿宋_GB2312"/>
          <w:sz w:val="32"/>
          <w:szCs w:val="32"/>
          <w:highlight w:val="none"/>
          <w:lang w:val="en-US" w:eastAsia="zh-CN"/>
        </w:rPr>
        <w:t>库</w:t>
      </w:r>
      <w:r>
        <w:rPr>
          <w:rFonts w:ascii="仿宋_GB2312" w:eastAsia="仿宋_GB2312"/>
          <w:sz w:val="32"/>
          <w:szCs w:val="32"/>
          <w:highlight w:val="none"/>
        </w:rPr>
        <w:t>的</w:t>
      </w:r>
      <w:r>
        <w:rPr>
          <w:rFonts w:hint="eastAsia" w:ascii="仿宋_GB2312" w:eastAsia="仿宋_GB2312"/>
          <w:sz w:val="32"/>
          <w:szCs w:val="32"/>
          <w:highlight w:val="none"/>
          <w:lang w:val="en-US" w:eastAsia="zh-CN"/>
        </w:rPr>
        <w:t>失信信息的</w:t>
      </w:r>
      <w:r>
        <w:rPr>
          <w:rFonts w:ascii="仿宋_GB2312" w:eastAsia="仿宋_GB2312"/>
          <w:sz w:val="32"/>
          <w:szCs w:val="32"/>
          <w:highlight w:val="none"/>
        </w:rPr>
        <w:t>信用修复活动</w:t>
      </w:r>
      <w:r>
        <w:rPr>
          <w:rFonts w:hint="eastAsia" w:ascii="仿宋_GB2312" w:eastAsia="仿宋_GB2312"/>
          <w:sz w:val="32"/>
          <w:szCs w:val="32"/>
          <w:highlight w:val="none"/>
        </w:rPr>
        <w:t>，信用修复包括自然修复和依申请修复。</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定点医药机构失信信息</w:t>
      </w:r>
      <w:r>
        <w:rPr>
          <w:rFonts w:ascii="仿宋_GB2312" w:eastAsia="仿宋_GB2312"/>
          <w:sz w:val="32"/>
          <w:szCs w:val="32"/>
          <w:highlight w:val="none"/>
        </w:rPr>
        <w:t>自认定之日起满5年后</w:t>
      </w:r>
      <w:r>
        <w:rPr>
          <w:rFonts w:hint="eastAsia" w:ascii="仿宋_GB2312" w:eastAsia="仿宋_GB2312"/>
          <w:sz w:val="32"/>
          <w:szCs w:val="32"/>
          <w:highlight w:val="none"/>
          <w:lang w:val="en-US" w:eastAsia="zh-CN"/>
        </w:rPr>
        <w:t>不再公示</w:t>
      </w:r>
      <w:r>
        <w:rPr>
          <w:rFonts w:ascii="仿宋_GB2312" w:eastAsia="仿宋_GB2312"/>
          <w:sz w:val="32"/>
          <w:szCs w:val="32"/>
          <w:highlight w:val="none"/>
        </w:rPr>
        <w:t>，视为自然修复。</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定点医药机构</w:t>
      </w:r>
      <w:r>
        <w:rPr>
          <w:rFonts w:ascii="仿宋_GB2312" w:eastAsia="仿宋_GB2312"/>
          <w:sz w:val="32"/>
          <w:szCs w:val="32"/>
          <w:highlight w:val="none"/>
        </w:rPr>
        <w:t>为积极改善自身信用状况，按照规定的条件和程序，向</w:t>
      </w:r>
      <w:r>
        <w:rPr>
          <w:rFonts w:hint="eastAsia" w:ascii="仿宋_GB2312" w:hAnsi="仿宋" w:eastAsia="仿宋_GB2312" w:cs="仿宋_GB2312"/>
          <w:sz w:val="32"/>
          <w:szCs w:val="32"/>
          <w:highlight w:val="none"/>
          <w:lang w:bidi="ar"/>
        </w:rPr>
        <w:t>医疗保障经办机构</w:t>
      </w:r>
      <w:r>
        <w:rPr>
          <w:rFonts w:ascii="仿宋_GB2312" w:eastAsia="仿宋_GB2312"/>
          <w:sz w:val="32"/>
          <w:szCs w:val="32"/>
          <w:highlight w:val="none"/>
        </w:rPr>
        <w:t>提出申请并被确认的</w:t>
      </w:r>
      <w:r>
        <w:rPr>
          <w:rFonts w:hint="eastAsia" w:ascii="仿宋_GB2312" w:eastAsia="仿宋_GB2312"/>
          <w:sz w:val="32"/>
          <w:szCs w:val="32"/>
          <w:highlight w:val="none"/>
          <w:lang w:eastAsia="zh-CN"/>
        </w:rPr>
        <w:t>，视为</w:t>
      </w:r>
      <w:r>
        <w:rPr>
          <w:rFonts w:hint="eastAsia" w:ascii="仿宋_GB2312" w:eastAsia="仿宋_GB2312"/>
          <w:sz w:val="32"/>
          <w:szCs w:val="32"/>
          <w:highlight w:val="none"/>
        </w:rPr>
        <w:t>依申请修复</w:t>
      </w:r>
      <w:r>
        <w:rPr>
          <w:rFonts w:ascii="仿宋_GB2312" w:eastAsia="仿宋_GB2312"/>
          <w:sz w:val="32"/>
          <w:szCs w:val="32"/>
          <w:highlight w:val="none"/>
        </w:rPr>
        <w:t>。</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bidi="ar"/>
        </w:rPr>
      </w:pPr>
      <w:r>
        <w:rPr>
          <w:rFonts w:hint="eastAsia" w:ascii="楷体_GB2312" w:hAnsi="仿宋_GB2312" w:eastAsia="楷体_GB2312" w:cs="Times New Roman"/>
          <w:b/>
          <w:color w:val="000000"/>
          <w:kern w:val="2"/>
          <w:sz w:val="32"/>
          <w:szCs w:val="32"/>
          <w:highlight w:val="none"/>
          <w:lang w:val="en-US" w:eastAsia="zh-CN" w:bidi="ar-SA"/>
        </w:rPr>
        <w:t>第三十二条</w:t>
      </w:r>
      <w:r>
        <w:rPr>
          <w:rFonts w:hint="eastAsia" w:ascii="仿宋_GB2312" w:hAnsi="仿宋" w:eastAsia="仿宋_GB2312" w:cs="仿宋_GB2312"/>
          <w:sz w:val="32"/>
          <w:szCs w:val="32"/>
          <w:highlight w:val="none"/>
          <w:lang w:bidi="ar"/>
        </w:rPr>
        <w:t xml:space="preserve"> 定点医药机构已主动纠正失信行为、消除不良影响、履行处理决定，并有以下情形</w:t>
      </w:r>
      <w:r>
        <w:rPr>
          <w:rFonts w:hint="eastAsia" w:ascii="仿宋_GB2312" w:hAnsi="仿宋" w:eastAsia="仿宋_GB2312" w:cs="仿宋_GB2312"/>
          <w:sz w:val="32"/>
          <w:szCs w:val="32"/>
          <w:highlight w:val="none"/>
          <w:lang w:val="en-US" w:eastAsia="zh-CN" w:bidi="ar"/>
        </w:rPr>
        <w:t>之一</w:t>
      </w:r>
      <w:r>
        <w:rPr>
          <w:rFonts w:hint="eastAsia" w:ascii="仿宋_GB2312" w:hAnsi="仿宋" w:eastAsia="仿宋_GB2312" w:cs="仿宋_GB2312"/>
          <w:sz w:val="32"/>
          <w:szCs w:val="32"/>
          <w:highlight w:val="none"/>
          <w:lang w:bidi="ar"/>
        </w:rPr>
        <w:t>的,可以申请信用修复：</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eastAsia="zh-CN" w:bidi="ar"/>
        </w:rPr>
      </w:pPr>
      <w:r>
        <w:rPr>
          <w:rFonts w:hint="eastAsia" w:ascii="仿宋_GB2312" w:hAnsi="仿宋" w:eastAsia="仿宋_GB2312" w:cs="仿宋_GB2312"/>
          <w:sz w:val="32"/>
          <w:szCs w:val="32"/>
          <w:highlight w:val="none"/>
          <w:lang w:eastAsia="zh-CN" w:bidi="ar"/>
        </w:rPr>
        <w:t>（一）</w:t>
      </w:r>
      <w:r>
        <w:rPr>
          <w:rFonts w:hint="eastAsia" w:ascii="仿宋_GB2312" w:hAnsi="仿宋" w:eastAsia="仿宋_GB2312" w:cs="仿宋_GB2312"/>
          <w:sz w:val="32"/>
          <w:szCs w:val="32"/>
          <w:highlight w:val="none"/>
          <w:lang w:bidi="ar"/>
        </w:rPr>
        <w:t>提供社会公益服务</w:t>
      </w:r>
      <w:r>
        <w:rPr>
          <w:rFonts w:hint="eastAsia" w:ascii="仿宋_GB2312" w:hAnsi="仿宋" w:eastAsia="仿宋_GB2312" w:cs="仿宋_GB2312"/>
          <w:sz w:val="32"/>
          <w:szCs w:val="32"/>
          <w:highlight w:val="none"/>
          <w:lang w:eastAsia="zh-CN" w:bidi="ar"/>
        </w:rPr>
        <w:t>；</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bidi="ar"/>
        </w:rPr>
      </w:pPr>
      <w:r>
        <w:rPr>
          <w:rFonts w:hint="eastAsia" w:ascii="仿宋_GB2312" w:hAnsi="仿宋" w:eastAsia="仿宋_GB2312" w:cs="仿宋_GB2312"/>
          <w:sz w:val="32"/>
          <w:szCs w:val="32"/>
          <w:highlight w:val="none"/>
          <w:lang w:eastAsia="zh-CN" w:bidi="ar"/>
        </w:rPr>
        <w:t>（二）</w:t>
      </w:r>
      <w:r>
        <w:rPr>
          <w:rFonts w:hint="eastAsia" w:ascii="仿宋_GB2312" w:hAnsi="仿宋" w:eastAsia="仿宋_GB2312" w:cs="仿宋_GB2312"/>
          <w:sz w:val="32"/>
          <w:szCs w:val="32"/>
          <w:highlight w:val="none"/>
          <w:lang w:bidi="ar"/>
        </w:rPr>
        <w:t>积极配合政府重大工作部署。</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bidi="ar"/>
        </w:rPr>
      </w:pPr>
      <w:r>
        <w:rPr>
          <w:rFonts w:hint="eastAsia" w:ascii="楷体_GB2312" w:hAnsi="仿宋_GB2312" w:eastAsia="楷体_GB2312" w:cs="Times New Roman"/>
          <w:b/>
          <w:color w:val="000000"/>
          <w:kern w:val="2"/>
          <w:sz w:val="32"/>
          <w:szCs w:val="32"/>
          <w:highlight w:val="none"/>
          <w:lang w:val="en-US" w:eastAsia="zh-CN" w:bidi="ar-SA"/>
        </w:rPr>
        <w:t>第三十三条</w:t>
      </w:r>
      <w:r>
        <w:rPr>
          <w:rFonts w:hint="eastAsia" w:ascii="仿宋_GB2312" w:hAnsi="仿宋" w:eastAsia="仿宋_GB2312" w:cs="仿宋_GB2312"/>
          <w:sz w:val="32"/>
          <w:szCs w:val="32"/>
          <w:highlight w:val="none"/>
          <w:lang w:bidi="ar"/>
        </w:rPr>
        <w:t xml:space="preserve"> 信用修复</w:t>
      </w:r>
      <w:r>
        <w:rPr>
          <w:rFonts w:hint="eastAsia" w:ascii="仿宋_GB2312" w:hAnsi="仿宋" w:eastAsia="仿宋_GB2312" w:cs="仿宋_GB2312"/>
          <w:sz w:val="32"/>
          <w:szCs w:val="32"/>
          <w:highlight w:val="none"/>
          <w:lang w:val="en-US" w:eastAsia="zh-CN" w:bidi="ar"/>
        </w:rPr>
        <w:t>需</w:t>
      </w:r>
      <w:r>
        <w:rPr>
          <w:rFonts w:hint="eastAsia" w:ascii="仿宋_GB2312" w:hAnsi="仿宋" w:eastAsia="仿宋_GB2312" w:cs="仿宋_GB2312"/>
          <w:sz w:val="32"/>
          <w:szCs w:val="32"/>
          <w:highlight w:val="none"/>
          <w:lang w:bidi="ar"/>
        </w:rPr>
        <w:t>向经办机构申请修改，申请材料包括：</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eastAsia="zh-CN" w:bidi="ar"/>
        </w:rPr>
      </w:pPr>
      <w:r>
        <w:rPr>
          <w:rFonts w:hint="eastAsia" w:ascii="仿宋_GB2312" w:hAnsi="仿宋" w:eastAsia="仿宋_GB2312" w:cs="仿宋_GB2312"/>
          <w:sz w:val="32"/>
          <w:szCs w:val="32"/>
          <w:highlight w:val="none"/>
          <w:lang w:eastAsia="zh-CN" w:bidi="ar"/>
        </w:rPr>
        <w:t>（</w:t>
      </w:r>
      <w:r>
        <w:rPr>
          <w:rFonts w:hint="eastAsia" w:ascii="仿宋_GB2312" w:hAnsi="仿宋" w:eastAsia="仿宋_GB2312" w:cs="仿宋_GB2312"/>
          <w:sz w:val="32"/>
          <w:szCs w:val="32"/>
          <w:highlight w:val="none"/>
          <w:lang w:val="en-US" w:eastAsia="zh-CN" w:bidi="ar"/>
        </w:rPr>
        <w:t>一</w:t>
      </w:r>
      <w:r>
        <w:rPr>
          <w:rFonts w:hint="eastAsia" w:ascii="仿宋_GB2312" w:hAnsi="仿宋" w:eastAsia="仿宋_GB2312" w:cs="仿宋_GB2312"/>
          <w:sz w:val="32"/>
          <w:szCs w:val="32"/>
          <w:highlight w:val="none"/>
          <w:lang w:eastAsia="zh-CN" w:bidi="ar"/>
        </w:rPr>
        <w:t>）</w:t>
      </w:r>
      <w:r>
        <w:rPr>
          <w:rFonts w:hint="eastAsia" w:ascii="仿宋_GB2312" w:hAnsi="仿宋" w:eastAsia="仿宋_GB2312" w:cs="仿宋_GB2312"/>
          <w:sz w:val="32"/>
          <w:szCs w:val="32"/>
          <w:highlight w:val="none"/>
          <w:lang w:bidi="ar"/>
        </w:rPr>
        <w:t>申请书，说明申请修改的理由、事实、依据</w:t>
      </w:r>
      <w:r>
        <w:rPr>
          <w:rFonts w:hint="eastAsia" w:ascii="仿宋_GB2312" w:hAnsi="仿宋" w:eastAsia="仿宋_GB2312" w:cs="仿宋_GB2312"/>
          <w:sz w:val="32"/>
          <w:szCs w:val="32"/>
          <w:highlight w:val="none"/>
          <w:lang w:eastAsia="zh-CN" w:bidi="ar"/>
        </w:rPr>
        <w:t>；</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bidi="ar"/>
        </w:rPr>
      </w:pPr>
      <w:r>
        <w:rPr>
          <w:rFonts w:hint="eastAsia" w:ascii="仿宋_GB2312" w:hAnsi="仿宋" w:eastAsia="仿宋_GB2312" w:cs="仿宋_GB2312"/>
          <w:sz w:val="32"/>
          <w:szCs w:val="32"/>
          <w:highlight w:val="none"/>
          <w:lang w:eastAsia="zh-CN" w:bidi="ar"/>
        </w:rPr>
        <w:t>（</w:t>
      </w:r>
      <w:r>
        <w:rPr>
          <w:rFonts w:hint="eastAsia" w:ascii="仿宋_GB2312" w:hAnsi="仿宋" w:eastAsia="仿宋_GB2312" w:cs="仿宋_GB2312"/>
          <w:sz w:val="32"/>
          <w:szCs w:val="32"/>
          <w:highlight w:val="none"/>
          <w:lang w:val="en-US" w:eastAsia="zh-CN" w:bidi="ar"/>
        </w:rPr>
        <w:t>二</w:t>
      </w:r>
      <w:r>
        <w:rPr>
          <w:rFonts w:hint="eastAsia" w:ascii="仿宋_GB2312" w:hAnsi="仿宋" w:eastAsia="仿宋_GB2312" w:cs="仿宋_GB2312"/>
          <w:sz w:val="32"/>
          <w:szCs w:val="32"/>
          <w:highlight w:val="none"/>
          <w:lang w:eastAsia="zh-CN" w:bidi="ar"/>
        </w:rPr>
        <w:t>）</w:t>
      </w:r>
      <w:r>
        <w:rPr>
          <w:rFonts w:hint="eastAsia" w:ascii="仿宋_GB2312" w:hAnsi="仿宋" w:eastAsia="仿宋_GB2312" w:cs="仿宋_GB2312"/>
          <w:sz w:val="32"/>
          <w:szCs w:val="32"/>
          <w:highlight w:val="none"/>
          <w:lang w:bidi="ar"/>
        </w:rPr>
        <w:t>有关证据材料。</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bidi="ar"/>
        </w:rPr>
      </w:pPr>
      <w:r>
        <w:rPr>
          <w:rFonts w:hint="eastAsia" w:ascii="楷体_GB2312" w:hAnsi="仿宋_GB2312" w:eastAsia="楷体_GB2312" w:cs="Times New Roman"/>
          <w:b/>
          <w:color w:val="000000"/>
          <w:kern w:val="2"/>
          <w:sz w:val="32"/>
          <w:szCs w:val="32"/>
          <w:highlight w:val="none"/>
          <w:lang w:val="en-US" w:eastAsia="zh-CN" w:bidi="ar-SA"/>
        </w:rPr>
        <w:t>第三十四条</w:t>
      </w:r>
      <w:r>
        <w:rPr>
          <w:rFonts w:hint="eastAsia" w:ascii="仿宋_GB2312" w:hAnsi="仿宋" w:eastAsia="仿宋_GB2312" w:cs="仿宋_GB2312"/>
          <w:sz w:val="32"/>
          <w:szCs w:val="32"/>
          <w:highlight w:val="none"/>
          <w:lang w:bidi="ar"/>
        </w:rPr>
        <w:t xml:space="preserve"> 医疗保障</w:t>
      </w:r>
      <w:r>
        <w:rPr>
          <w:rFonts w:hint="eastAsia" w:ascii="仿宋_GB2312" w:hAnsi="仿宋" w:eastAsia="仿宋_GB2312" w:cs="仿宋_GB2312"/>
          <w:sz w:val="32"/>
          <w:szCs w:val="32"/>
          <w:highlight w:val="none"/>
          <w:lang w:val="en-US" w:eastAsia="zh-CN" w:bidi="ar"/>
        </w:rPr>
        <w:t>经办机构</w:t>
      </w:r>
      <w:r>
        <w:rPr>
          <w:rFonts w:hint="eastAsia" w:ascii="仿宋_GB2312" w:hAnsi="仿宋" w:eastAsia="仿宋_GB2312" w:cs="仿宋_GB2312"/>
          <w:sz w:val="32"/>
          <w:szCs w:val="32"/>
          <w:highlight w:val="none"/>
          <w:lang w:bidi="ar"/>
        </w:rPr>
        <w:t>收到信用修复的申请后，按规定对</w:t>
      </w:r>
      <w:r>
        <w:rPr>
          <w:rFonts w:hint="eastAsia" w:ascii="仿宋_GB2312" w:hAnsi="仿宋" w:eastAsia="仿宋_GB2312" w:cs="仿宋_GB2312"/>
          <w:sz w:val="32"/>
          <w:szCs w:val="32"/>
          <w:highlight w:val="none"/>
          <w:lang w:val="en-US" w:eastAsia="zh-CN" w:bidi="ar"/>
        </w:rPr>
        <w:t>申请</w:t>
      </w:r>
      <w:r>
        <w:rPr>
          <w:rFonts w:hint="eastAsia" w:ascii="仿宋_GB2312" w:hAnsi="仿宋" w:eastAsia="仿宋_GB2312" w:cs="仿宋_GB2312"/>
          <w:sz w:val="32"/>
          <w:szCs w:val="32"/>
          <w:highlight w:val="none"/>
          <w:lang w:bidi="ar"/>
        </w:rPr>
        <w:t>进行调查核实，并于15个工作日内给予回复</w:t>
      </w:r>
      <w:r>
        <w:rPr>
          <w:rFonts w:hint="eastAsia" w:ascii="仿宋_GB2312" w:hAnsi="仿宋" w:eastAsia="仿宋_GB2312" w:cs="仿宋_GB2312"/>
          <w:sz w:val="32"/>
          <w:szCs w:val="32"/>
          <w:highlight w:val="none"/>
          <w:lang w:eastAsia="zh-CN" w:bidi="ar"/>
        </w:rPr>
        <w:t>，</w:t>
      </w:r>
      <w:r>
        <w:rPr>
          <w:rFonts w:hint="eastAsia" w:ascii="仿宋_GB2312" w:hAnsi="仿宋" w:eastAsia="仿宋_GB2312" w:cs="仿宋_GB2312"/>
          <w:sz w:val="32"/>
          <w:szCs w:val="32"/>
          <w:highlight w:val="none"/>
          <w:lang w:val="en-US" w:eastAsia="zh-CN" w:bidi="ar"/>
        </w:rPr>
        <w:t>情况复杂的，可适当延长，最长不超过30个工作日</w:t>
      </w:r>
      <w:r>
        <w:rPr>
          <w:rFonts w:hint="eastAsia" w:ascii="仿宋_GB2312" w:hAnsi="仿宋" w:eastAsia="仿宋_GB2312" w:cs="仿宋_GB2312"/>
          <w:sz w:val="32"/>
          <w:szCs w:val="32"/>
          <w:highlight w:val="none"/>
          <w:lang w:bidi="ar"/>
        </w:rPr>
        <w:t>。</w:t>
      </w:r>
    </w:p>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黑体" w:hAnsi="黑体" w:eastAsia="黑体" w:cs="黑体"/>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第</w:t>
      </w:r>
      <w:r>
        <w:rPr>
          <w:rFonts w:hint="eastAsia" w:ascii="黑体" w:hAnsi="黑体" w:eastAsia="黑体" w:cs="黑体"/>
          <w:kern w:val="0"/>
          <w:sz w:val="32"/>
          <w:szCs w:val="32"/>
          <w:highlight w:val="none"/>
          <w:lang w:val="en-US" w:eastAsia="zh-CN"/>
        </w:rPr>
        <w:t>六</w:t>
      </w:r>
      <w:r>
        <w:rPr>
          <w:rFonts w:hint="eastAsia" w:ascii="黑体" w:hAnsi="黑体" w:eastAsia="黑体" w:cs="黑体"/>
          <w:kern w:val="0"/>
          <w:sz w:val="32"/>
          <w:szCs w:val="32"/>
          <w:highlight w:val="none"/>
        </w:rPr>
        <w:t>章　</w:t>
      </w:r>
      <w:r>
        <w:rPr>
          <w:rFonts w:ascii="Calibri" w:hAnsi="Calibri" w:eastAsia="黑体" w:cs="Calibri"/>
          <w:kern w:val="0"/>
          <w:sz w:val="32"/>
          <w:szCs w:val="32"/>
          <w:highlight w:val="none"/>
        </w:rPr>
        <w:t> </w:t>
      </w:r>
      <w:r>
        <w:rPr>
          <w:rFonts w:hint="eastAsia" w:ascii="黑体" w:hAnsi="黑体" w:eastAsia="黑体" w:cs="黑体"/>
          <w:kern w:val="0"/>
          <w:sz w:val="32"/>
          <w:szCs w:val="32"/>
          <w:highlight w:val="none"/>
        </w:rPr>
        <w:t>附</w:t>
      </w:r>
      <w:r>
        <w:rPr>
          <w:rFonts w:ascii="Calibri" w:hAnsi="Calibri" w:eastAsia="黑体" w:cs="Calibri"/>
          <w:kern w:val="0"/>
          <w:sz w:val="32"/>
          <w:szCs w:val="32"/>
          <w:highlight w:val="none"/>
        </w:rPr>
        <w:t> </w:t>
      </w:r>
      <w:r>
        <w:rPr>
          <w:rFonts w:hint="eastAsia" w:ascii="黑体" w:hAnsi="黑体" w:eastAsia="黑体" w:cs="黑体"/>
          <w:kern w:val="0"/>
          <w:sz w:val="32"/>
          <w:szCs w:val="32"/>
          <w:highlight w:val="none"/>
        </w:rPr>
        <w:t>则</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楷体_GB2312" w:hAnsi="仿宋_GB2312" w:eastAsia="楷体_GB2312" w:cs="Times New Roman"/>
          <w:b/>
          <w:color w:val="000000"/>
          <w:kern w:val="2"/>
          <w:sz w:val="32"/>
          <w:szCs w:val="32"/>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bidi="ar"/>
        </w:rPr>
      </w:pPr>
      <w:r>
        <w:rPr>
          <w:rFonts w:hint="eastAsia" w:ascii="楷体_GB2312" w:hAnsi="仿宋_GB2312" w:eastAsia="楷体_GB2312" w:cs="Times New Roman"/>
          <w:b/>
          <w:color w:val="000000"/>
          <w:kern w:val="2"/>
          <w:sz w:val="32"/>
          <w:szCs w:val="32"/>
          <w:highlight w:val="none"/>
          <w:lang w:val="en-US" w:eastAsia="zh-CN" w:bidi="ar-SA"/>
        </w:rPr>
        <w:t>第三十五条</w:t>
      </w:r>
      <w:r>
        <w:rPr>
          <w:rFonts w:hint="eastAsia" w:ascii="仿宋_GB2312" w:hAnsi="仿宋" w:eastAsia="仿宋_GB2312" w:cs="仿宋_GB2312"/>
          <w:sz w:val="32"/>
          <w:szCs w:val="32"/>
          <w:highlight w:val="none"/>
          <w:lang w:bidi="ar"/>
        </w:rPr>
        <w:t xml:space="preserve"> 定点医药机构</w:t>
      </w:r>
      <w:r>
        <w:rPr>
          <w:rFonts w:hint="eastAsia" w:ascii="仿宋_GB2312" w:hAnsi="仿宋" w:eastAsia="仿宋_GB2312" w:cs="仿宋_GB2312"/>
          <w:sz w:val="32"/>
          <w:szCs w:val="32"/>
          <w:highlight w:val="none"/>
          <w:lang w:eastAsia="zh-CN" w:bidi="ar"/>
        </w:rPr>
        <w:t>医保</w:t>
      </w:r>
      <w:r>
        <w:rPr>
          <w:rFonts w:hint="eastAsia" w:ascii="仿宋_GB2312" w:hAnsi="仿宋" w:eastAsia="仿宋_GB2312" w:cs="仿宋_GB2312"/>
          <w:sz w:val="32"/>
          <w:szCs w:val="32"/>
          <w:highlight w:val="none"/>
          <w:lang w:bidi="ar"/>
        </w:rPr>
        <w:t>信用等级</w:t>
      </w:r>
      <w:r>
        <w:rPr>
          <w:rFonts w:hint="eastAsia" w:ascii="仿宋_GB2312" w:hAnsi="仿宋" w:eastAsia="仿宋_GB2312" w:cs="仿宋_GB2312"/>
          <w:sz w:val="32"/>
          <w:szCs w:val="32"/>
          <w:highlight w:val="none"/>
          <w:lang w:eastAsia="zh-CN" w:bidi="ar"/>
        </w:rPr>
        <w:t>评价</w:t>
      </w:r>
      <w:r>
        <w:rPr>
          <w:rFonts w:hint="eastAsia" w:ascii="仿宋_GB2312" w:hAnsi="仿宋" w:eastAsia="仿宋_GB2312" w:cs="仿宋_GB2312"/>
          <w:sz w:val="32"/>
          <w:szCs w:val="32"/>
          <w:highlight w:val="none"/>
          <w:lang w:bidi="ar"/>
        </w:rPr>
        <w:t>结果自公布之日起至下一</w:t>
      </w:r>
      <w:r>
        <w:rPr>
          <w:rFonts w:hint="eastAsia" w:ascii="仿宋_GB2312" w:hAnsi="仿宋" w:eastAsia="仿宋_GB2312" w:cs="仿宋_GB2312"/>
          <w:sz w:val="32"/>
          <w:szCs w:val="32"/>
          <w:highlight w:val="none"/>
          <w:lang w:eastAsia="zh-CN" w:bidi="ar"/>
        </w:rPr>
        <w:t>评价</w:t>
      </w:r>
      <w:r>
        <w:rPr>
          <w:rFonts w:hint="eastAsia" w:ascii="仿宋_GB2312" w:hAnsi="仿宋" w:eastAsia="仿宋_GB2312" w:cs="仿宋_GB2312"/>
          <w:sz w:val="32"/>
          <w:szCs w:val="32"/>
          <w:highlight w:val="none"/>
          <w:lang w:bidi="ar"/>
        </w:rPr>
        <w:t>结果公布之日内有效。</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bidi="ar"/>
        </w:rPr>
      </w:pPr>
      <w:r>
        <w:rPr>
          <w:rFonts w:hint="eastAsia" w:ascii="楷体_GB2312" w:hAnsi="仿宋_GB2312" w:eastAsia="楷体_GB2312" w:cs="Times New Roman"/>
          <w:b/>
          <w:color w:val="000000"/>
          <w:kern w:val="2"/>
          <w:sz w:val="32"/>
          <w:szCs w:val="32"/>
          <w:highlight w:val="none"/>
          <w:lang w:val="en-US" w:eastAsia="zh-CN" w:bidi="ar-SA"/>
        </w:rPr>
        <w:t xml:space="preserve">第三十六条 </w:t>
      </w:r>
      <w:r>
        <w:rPr>
          <w:rFonts w:hint="eastAsia" w:ascii="仿宋_GB2312" w:hAnsi="仿宋" w:eastAsia="仿宋_GB2312" w:cs="仿宋_GB2312"/>
          <w:sz w:val="32"/>
          <w:szCs w:val="32"/>
          <w:highlight w:val="none"/>
          <w:lang w:bidi="ar"/>
        </w:rPr>
        <w:t>本办法由山东省医疗保障局负责解释。</w:t>
      </w:r>
    </w:p>
    <w:p>
      <w:pPr>
        <w:keepNext w:val="0"/>
        <w:keepLines w:val="0"/>
        <w:pageBreakBefore w:val="0"/>
        <w:widowControl/>
        <w:kinsoku/>
        <w:wordWrap/>
        <w:overflowPunct/>
        <w:topLinePunct w:val="0"/>
        <w:autoSpaceDE/>
        <w:autoSpaceDN/>
        <w:bidi w:val="0"/>
        <w:adjustRightInd/>
        <w:snapToGrid/>
        <w:spacing w:line="600" w:lineRule="exact"/>
        <w:ind w:firstLine="630"/>
        <w:rPr>
          <w:rFonts w:hint="default" w:ascii="仿宋_GB2312" w:hAnsi="仿宋" w:eastAsia="仿宋_GB2312" w:cs="仿宋_GB2312"/>
          <w:sz w:val="32"/>
          <w:szCs w:val="32"/>
          <w:highlight w:val="none"/>
          <w:lang w:val="en-US" w:eastAsia="zh-CN" w:bidi="ar"/>
        </w:rPr>
      </w:pPr>
      <w:r>
        <w:rPr>
          <w:rFonts w:hint="eastAsia" w:ascii="楷体_GB2312" w:hAnsi="仿宋_GB2312" w:eastAsia="楷体_GB2312" w:cs="Times New Roman"/>
          <w:b/>
          <w:color w:val="000000"/>
          <w:kern w:val="2"/>
          <w:sz w:val="32"/>
          <w:szCs w:val="32"/>
          <w:highlight w:val="none"/>
          <w:lang w:val="en-US" w:eastAsia="zh-CN" w:bidi="ar-SA"/>
        </w:rPr>
        <w:t xml:space="preserve">第三十七条 </w:t>
      </w:r>
      <w:r>
        <w:rPr>
          <w:rFonts w:hint="eastAsia" w:ascii="仿宋_GB2312" w:hAnsi="仿宋" w:eastAsia="仿宋_GB2312" w:cs="仿宋_GB2312"/>
          <w:sz w:val="32"/>
          <w:szCs w:val="32"/>
          <w:highlight w:val="none"/>
          <w:lang w:bidi="ar"/>
        </w:rPr>
        <w:t>本办法自</w:t>
      </w:r>
      <w:r>
        <w:rPr>
          <w:rFonts w:hint="default" w:ascii="仿宋_GB2312" w:hAnsi="仿宋" w:eastAsia="仿宋_GB2312" w:cs="仿宋_GB2312"/>
          <w:sz w:val="32"/>
          <w:szCs w:val="32"/>
          <w:highlight w:val="none"/>
          <w:lang w:val="en" w:bidi="ar"/>
        </w:rPr>
        <w:t>xxxx</w:t>
      </w:r>
      <w:r>
        <w:rPr>
          <w:rFonts w:hint="eastAsia" w:ascii="仿宋_GB2312" w:hAnsi="仿宋" w:eastAsia="仿宋_GB2312" w:cs="仿宋_GB2312"/>
          <w:sz w:val="32"/>
          <w:szCs w:val="32"/>
          <w:highlight w:val="none"/>
          <w:lang w:bidi="ar"/>
        </w:rPr>
        <w:t>年</w:t>
      </w:r>
      <w:r>
        <w:rPr>
          <w:rFonts w:hint="default" w:ascii="仿宋_GB2312" w:hAnsi="仿宋" w:eastAsia="仿宋_GB2312" w:cs="仿宋_GB2312"/>
          <w:sz w:val="32"/>
          <w:szCs w:val="32"/>
          <w:highlight w:val="none"/>
          <w:lang w:val="en" w:bidi="ar"/>
        </w:rPr>
        <w:t>x</w:t>
      </w:r>
      <w:r>
        <w:rPr>
          <w:rFonts w:hint="eastAsia" w:ascii="仿宋_GB2312" w:hAnsi="仿宋" w:eastAsia="仿宋_GB2312" w:cs="仿宋_GB2312"/>
          <w:sz w:val="32"/>
          <w:szCs w:val="32"/>
          <w:highlight w:val="none"/>
          <w:lang w:bidi="ar"/>
        </w:rPr>
        <w:t>月</w:t>
      </w:r>
      <w:r>
        <w:rPr>
          <w:rFonts w:hint="default" w:ascii="仿宋_GB2312" w:hAnsi="仿宋" w:eastAsia="仿宋_GB2312" w:cs="仿宋_GB2312"/>
          <w:sz w:val="32"/>
          <w:szCs w:val="32"/>
          <w:highlight w:val="none"/>
          <w:lang w:val="en" w:bidi="ar"/>
        </w:rPr>
        <w:t>x</w:t>
      </w:r>
      <w:r>
        <w:rPr>
          <w:rFonts w:hint="eastAsia" w:ascii="仿宋_GB2312" w:hAnsi="仿宋" w:eastAsia="仿宋_GB2312" w:cs="仿宋_GB2312"/>
          <w:sz w:val="32"/>
          <w:szCs w:val="32"/>
          <w:highlight w:val="none"/>
          <w:lang w:bidi="ar"/>
        </w:rPr>
        <w:t>日起</w:t>
      </w:r>
      <w:r>
        <w:rPr>
          <w:rFonts w:hint="eastAsia" w:ascii="仿宋_GB2312" w:hAnsi="仿宋" w:eastAsia="仿宋_GB2312" w:cs="仿宋_GB2312"/>
          <w:sz w:val="32"/>
          <w:szCs w:val="32"/>
          <w:highlight w:val="none"/>
          <w:lang w:eastAsia="zh-CN" w:bidi="ar"/>
        </w:rPr>
        <w:t>施行，有效期至</w:t>
      </w:r>
      <w:r>
        <w:rPr>
          <w:rFonts w:hint="default" w:ascii="仿宋_GB2312" w:hAnsi="仿宋" w:eastAsia="仿宋_GB2312" w:cs="仿宋_GB2312"/>
          <w:sz w:val="32"/>
          <w:szCs w:val="32"/>
          <w:highlight w:val="none"/>
          <w:lang w:val="en" w:eastAsia="zh-CN" w:bidi="ar"/>
        </w:rPr>
        <w:t>xxxx</w:t>
      </w:r>
      <w:r>
        <w:rPr>
          <w:rFonts w:hint="eastAsia" w:ascii="仿宋_GB2312" w:hAnsi="仿宋_GB2312" w:eastAsia="仿宋_GB2312" w:cs="仿宋_GB2312"/>
          <w:i w:val="0"/>
          <w:caps w:val="0"/>
          <w:color w:val="333333"/>
          <w:spacing w:val="0"/>
          <w:sz w:val="32"/>
          <w:szCs w:val="32"/>
          <w:u w:val="none"/>
          <w:lang w:val="en-US" w:eastAsia="zh-CN"/>
        </w:rPr>
        <w:t>年</w:t>
      </w:r>
      <w:r>
        <w:rPr>
          <w:rFonts w:hint="default" w:ascii="仿宋_GB2312" w:hAnsi="仿宋_GB2312" w:eastAsia="仿宋_GB2312" w:cs="仿宋_GB2312"/>
          <w:i w:val="0"/>
          <w:caps w:val="0"/>
          <w:color w:val="333333"/>
          <w:spacing w:val="0"/>
          <w:sz w:val="32"/>
          <w:szCs w:val="32"/>
          <w:u w:val="none"/>
          <w:lang w:val="en" w:eastAsia="zh-CN"/>
        </w:rPr>
        <w:t>x</w:t>
      </w:r>
      <w:r>
        <w:rPr>
          <w:rFonts w:hint="eastAsia" w:ascii="仿宋_GB2312" w:hAnsi="仿宋_GB2312" w:eastAsia="仿宋_GB2312" w:cs="仿宋_GB2312"/>
          <w:i w:val="0"/>
          <w:caps w:val="0"/>
          <w:color w:val="333333"/>
          <w:spacing w:val="0"/>
          <w:sz w:val="32"/>
          <w:szCs w:val="32"/>
          <w:u w:val="none"/>
          <w:lang w:val="en-US" w:eastAsia="zh-CN"/>
        </w:rPr>
        <w:t>月</w:t>
      </w:r>
      <w:r>
        <w:rPr>
          <w:rFonts w:hint="default" w:ascii="仿宋_GB2312" w:hAnsi="仿宋_GB2312" w:eastAsia="仿宋_GB2312" w:cs="仿宋_GB2312"/>
          <w:i w:val="0"/>
          <w:caps w:val="0"/>
          <w:color w:val="333333"/>
          <w:spacing w:val="0"/>
          <w:sz w:val="32"/>
          <w:szCs w:val="32"/>
          <w:u w:val="none"/>
          <w:lang w:val="en" w:eastAsia="zh-CN"/>
        </w:rPr>
        <w:t>x</w:t>
      </w:r>
      <w:r>
        <w:rPr>
          <w:rFonts w:hint="eastAsia" w:ascii="仿宋_GB2312" w:hAnsi="仿宋_GB2312" w:eastAsia="仿宋_GB2312" w:cs="仿宋_GB2312"/>
          <w:i w:val="0"/>
          <w:caps w:val="0"/>
          <w:color w:val="333333"/>
          <w:spacing w:val="0"/>
          <w:sz w:val="32"/>
          <w:szCs w:val="32"/>
          <w:u w:val="none"/>
          <w:lang w:val="en-US" w:eastAsia="zh-CN"/>
        </w:rPr>
        <w:t>日</w:t>
      </w:r>
      <w:r>
        <w:rPr>
          <w:rFonts w:hint="eastAsia" w:ascii="仿宋_GB2312" w:hAnsi="仿宋" w:eastAsia="仿宋_GB2312" w:cs="仿宋_GB2312"/>
          <w:sz w:val="32"/>
          <w:szCs w:val="32"/>
          <w:highlight w:val="none"/>
          <w:lang w:val="en-US" w:eastAsia="zh-CN" w:bidi="ar"/>
        </w:rPr>
        <w:t>。</w:t>
      </w: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bidi="ar"/>
        </w:rPr>
      </w:pP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firstLine="630"/>
        <w:rPr>
          <w:rFonts w:hint="eastAsia" w:ascii="仿宋_GB2312" w:hAnsi="仿宋" w:eastAsia="仿宋_GB2312" w:cs="仿宋_GB2312"/>
          <w:sz w:val="32"/>
          <w:szCs w:val="32"/>
          <w:highlight w:val="none"/>
          <w:lang w:val="en-US" w:eastAsia="zh-CN" w:bidi="ar"/>
        </w:rPr>
      </w:pPr>
      <w:r>
        <w:rPr>
          <w:rFonts w:hint="eastAsia" w:ascii="仿宋_GB2312" w:hAnsi="仿宋" w:eastAsia="仿宋_GB2312" w:cs="仿宋_GB2312"/>
          <w:sz w:val="32"/>
          <w:szCs w:val="32"/>
          <w:highlight w:val="none"/>
          <w:lang w:val="en-US" w:eastAsia="zh-CN" w:bidi="ar"/>
        </w:rPr>
        <w:t>附件：1、医保信用等级分级</w:t>
      </w:r>
    </w:p>
    <w:p>
      <w:pPr>
        <w:keepNext w:val="0"/>
        <w:keepLines w:val="0"/>
        <w:pageBreakBefore w:val="0"/>
        <w:widowControl/>
        <w:kinsoku/>
        <w:wordWrap/>
        <w:overflowPunct/>
        <w:topLinePunct w:val="0"/>
        <w:autoSpaceDE/>
        <w:autoSpaceDN/>
        <w:bidi w:val="0"/>
        <w:adjustRightInd/>
        <w:snapToGrid/>
        <w:spacing w:line="600" w:lineRule="exact"/>
        <w:ind w:firstLine="1600" w:firstLineChars="500"/>
        <w:rPr>
          <w:rFonts w:hint="eastAsia" w:ascii="仿宋_GB2312" w:hAnsi="仿宋" w:eastAsia="仿宋_GB2312" w:cs="仿宋_GB2312"/>
          <w:sz w:val="32"/>
          <w:szCs w:val="32"/>
          <w:highlight w:val="none"/>
          <w:lang w:val="en-US" w:eastAsia="zh-CN" w:bidi="ar"/>
        </w:rPr>
      </w:pPr>
      <w:r>
        <w:rPr>
          <w:rFonts w:hint="eastAsia" w:ascii="仿宋_GB2312" w:hAnsi="仿宋" w:eastAsia="仿宋_GB2312" w:cs="仿宋_GB2312"/>
          <w:sz w:val="32"/>
          <w:szCs w:val="32"/>
          <w:highlight w:val="none"/>
          <w:lang w:val="en-US" w:eastAsia="zh-CN" w:bidi="ar"/>
        </w:rPr>
        <w:t>2、定点医疗机构医保信用评价指标</w:t>
      </w:r>
    </w:p>
    <w:p>
      <w:pPr>
        <w:keepNext w:val="0"/>
        <w:keepLines w:val="0"/>
        <w:pageBreakBefore w:val="0"/>
        <w:widowControl/>
        <w:kinsoku/>
        <w:wordWrap/>
        <w:overflowPunct/>
        <w:topLinePunct w:val="0"/>
        <w:autoSpaceDE/>
        <w:autoSpaceDN/>
        <w:bidi w:val="0"/>
        <w:adjustRightInd/>
        <w:snapToGrid/>
        <w:spacing w:line="600" w:lineRule="exact"/>
        <w:ind w:firstLine="1600" w:firstLineChars="500"/>
        <w:rPr>
          <w:rFonts w:hint="eastAsia" w:ascii="仿宋_GB2312" w:hAnsi="仿宋" w:eastAsia="仿宋_GB2312" w:cs="仿宋_GB2312"/>
          <w:sz w:val="32"/>
          <w:szCs w:val="32"/>
          <w:highlight w:val="none"/>
          <w:lang w:val="en-US" w:eastAsia="zh-CN" w:bidi="ar"/>
        </w:rPr>
      </w:pPr>
      <w:r>
        <w:rPr>
          <w:rFonts w:hint="eastAsia" w:ascii="仿宋_GB2312" w:hAnsi="仿宋" w:eastAsia="仿宋_GB2312" w:cs="仿宋_GB2312"/>
          <w:sz w:val="32"/>
          <w:szCs w:val="32"/>
          <w:highlight w:val="none"/>
          <w:lang w:val="en-US" w:eastAsia="zh-CN" w:bidi="ar"/>
        </w:rPr>
        <w:t>3、定点零售药店医保信用评价指标</w:t>
      </w:r>
    </w:p>
    <w:p>
      <w:pPr>
        <w:keepNext w:val="0"/>
        <w:keepLines w:val="0"/>
        <w:pageBreakBefore w:val="0"/>
        <w:widowControl/>
        <w:kinsoku/>
        <w:wordWrap/>
        <w:overflowPunct/>
        <w:topLinePunct w:val="0"/>
        <w:autoSpaceDE/>
        <w:autoSpaceDN/>
        <w:bidi w:val="0"/>
        <w:adjustRightInd/>
        <w:snapToGrid/>
        <w:spacing w:line="600" w:lineRule="exact"/>
        <w:ind w:firstLine="1600" w:firstLineChars="500"/>
        <w:rPr>
          <w:rFonts w:hint="eastAsia" w:ascii="仿宋_GB2312" w:hAnsi="仿宋" w:eastAsia="仿宋_GB2312" w:cs="仿宋_GB2312"/>
          <w:sz w:val="32"/>
          <w:szCs w:val="32"/>
          <w:highlight w:val="none"/>
          <w:lang w:val="en-US" w:eastAsia="zh-CN" w:bidi="ar"/>
        </w:rPr>
      </w:pPr>
      <w:r>
        <w:rPr>
          <w:rFonts w:hint="eastAsia" w:ascii="仿宋_GB2312" w:hAnsi="仿宋" w:eastAsia="仿宋_GB2312" w:cs="仿宋_GB2312"/>
          <w:sz w:val="32"/>
          <w:szCs w:val="32"/>
          <w:highlight w:val="none"/>
          <w:lang w:val="en-US" w:eastAsia="zh-CN" w:bidi="ar"/>
        </w:rPr>
        <w:t>4、</w:t>
      </w:r>
      <w:r>
        <w:rPr>
          <w:rFonts w:hint="eastAsia" w:ascii="仿宋_GB2312" w:hAnsi="仿宋" w:eastAsia="仿宋_GB2312" w:cs="仿宋_GB2312"/>
          <w:b w:val="0"/>
          <w:bCs w:val="0"/>
          <w:sz w:val="32"/>
          <w:szCs w:val="32"/>
          <w:highlight w:val="none"/>
          <w:lang w:val="en-US" w:eastAsia="zh-CN" w:bidi="ar"/>
        </w:rPr>
        <w:t>定点医药机构医保信用评价报告</w:t>
      </w:r>
    </w:p>
    <w:p>
      <w:pPr>
        <w:keepNext w:val="0"/>
        <w:keepLines w:val="0"/>
        <w:pageBreakBefore w:val="0"/>
        <w:widowControl/>
        <w:kinsoku/>
        <w:wordWrap/>
        <w:overflowPunct/>
        <w:topLinePunct w:val="0"/>
        <w:autoSpaceDE/>
        <w:autoSpaceDN/>
        <w:bidi w:val="0"/>
        <w:adjustRightInd/>
        <w:snapToGrid/>
        <w:spacing w:line="600" w:lineRule="exact"/>
        <w:ind w:firstLine="1600" w:firstLineChars="500"/>
        <w:rPr>
          <w:rFonts w:hint="eastAsia" w:ascii="仿宋_GB2312" w:hAnsi="仿宋" w:eastAsia="仿宋_GB2312" w:cs="仿宋_GB2312"/>
          <w:sz w:val="32"/>
          <w:szCs w:val="32"/>
          <w:highlight w:val="none"/>
          <w:lang w:val="en-US" w:eastAsia="zh-CN" w:bidi="ar"/>
        </w:rPr>
      </w:pPr>
      <w:r>
        <w:rPr>
          <w:rFonts w:hint="eastAsia" w:ascii="仿宋_GB2312" w:hAnsi="仿宋" w:eastAsia="仿宋_GB2312" w:cs="仿宋_GB2312"/>
          <w:sz w:val="32"/>
          <w:szCs w:val="32"/>
          <w:highlight w:val="none"/>
          <w:lang w:val="en-US" w:eastAsia="zh-CN" w:bidi="ar"/>
        </w:rPr>
        <w:t>5、定点医药机构医保信用评级告知书</w:t>
      </w:r>
    </w:p>
    <w:p>
      <w:pPr>
        <w:widowControl/>
        <w:spacing w:line="600" w:lineRule="exact"/>
        <w:ind w:firstLine="1600" w:firstLineChars="500"/>
        <w:rPr>
          <w:rFonts w:hint="eastAsia" w:ascii="仿宋_GB2312" w:hAnsi="仿宋" w:eastAsia="仿宋_GB2312" w:cs="仿宋_GB2312"/>
          <w:sz w:val="32"/>
          <w:szCs w:val="32"/>
          <w:highlight w:val="none"/>
          <w:lang w:val="en-US" w:eastAsia="zh-CN" w:bidi="ar"/>
        </w:rPr>
      </w:pPr>
      <w:r>
        <w:rPr>
          <w:rFonts w:hint="eastAsia" w:ascii="仿宋_GB2312" w:hAnsi="仿宋" w:eastAsia="仿宋_GB2312" w:cs="仿宋_GB2312"/>
          <w:sz w:val="32"/>
          <w:szCs w:val="32"/>
          <w:highlight w:val="none"/>
          <w:lang w:val="en-US" w:eastAsia="zh-CN" w:bidi="ar"/>
        </w:rPr>
        <w:t>6、定点医药机构医保信用异议申请书</w:t>
      </w:r>
    </w:p>
    <w:p>
      <w:pPr>
        <w:widowControl/>
        <w:spacing w:line="600" w:lineRule="exact"/>
        <w:ind w:firstLine="1600" w:firstLineChars="500"/>
        <w:rPr>
          <w:rFonts w:hint="eastAsia" w:ascii="仿宋_GB2312" w:hAnsi="仿宋" w:eastAsia="仿宋_GB2312" w:cs="仿宋_GB2312"/>
          <w:sz w:val="32"/>
          <w:szCs w:val="32"/>
          <w:highlight w:val="none"/>
          <w:lang w:val="en-US" w:eastAsia="zh-CN" w:bidi="ar"/>
        </w:rPr>
      </w:pPr>
      <w:r>
        <w:rPr>
          <w:rFonts w:hint="eastAsia" w:ascii="仿宋_GB2312" w:hAnsi="仿宋" w:eastAsia="仿宋_GB2312" w:cs="仿宋_GB2312"/>
          <w:sz w:val="32"/>
          <w:szCs w:val="32"/>
          <w:highlight w:val="none"/>
          <w:lang w:val="en-US" w:eastAsia="zh-CN" w:bidi="ar"/>
        </w:rPr>
        <w:t>7、定点医药机构医保信用修复申请书</w:t>
      </w:r>
    </w:p>
    <w:p>
      <w:pPr>
        <w:widowControl/>
        <w:spacing w:line="600" w:lineRule="exact"/>
        <w:ind w:firstLine="1600" w:firstLineChars="500"/>
        <w:rPr>
          <w:rFonts w:hint="eastAsia" w:ascii="仿宋_GB2312" w:hAnsi="仿宋" w:eastAsia="仿宋_GB2312" w:cs="仿宋_GB2312"/>
          <w:sz w:val="32"/>
          <w:szCs w:val="32"/>
          <w:highlight w:val="none"/>
          <w:lang w:val="en-US" w:eastAsia="zh-CN" w:bidi="ar"/>
        </w:rPr>
      </w:pPr>
      <w:r>
        <w:rPr>
          <w:rFonts w:hint="eastAsia" w:ascii="仿宋_GB2312" w:hAnsi="仿宋" w:eastAsia="仿宋_GB2312" w:cs="仿宋_GB2312"/>
          <w:sz w:val="32"/>
          <w:szCs w:val="32"/>
          <w:highlight w:val="none"/>
          <w:lang w:val="en-US" w:eastAsia="zh-CN" w:bidi="ar"/>
        </w:rPr>
        <w:t>8、定点医药机构医保信用修复告知书</w:t>
      </w:r>
    </w:p>
    <w:p>
      <w:pPr>
        <w:keepNext w:val="0"/>
        <w:keepLines w:val="0"/>
        <w:pageBreakBefore w:val="0"/>
        <w:widowControl/>
        <w:kinsoku/>
        <w:wordWrap/>
        <w:overflowPunct/>
        <w:topLinePunct w:val="0"/>
        <w:autoSpaceDE/>
        <w:autoSpaceDN/>
        <w:bidi w:val="0"/>
        <w:adjustRightInd/>
        <w:snapToGrid/>
        <w:spacing w:line="600" w:lineRule="exact"/>
        <w:ind w:firstLine="0"/>
        <w:rPr>
          <w:rFonts w:hint="eastAsia" w:ascii="仿宋_GB2312" w:hAnsi="仿宋" w:eastAsia="仿宋_GB2312" w:cs="仿宋_GB2312"/>
          <w:b/>
          <w:bCs/>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firstLine="0"/>
        <w:rPr>
          <w:rFonts w:hint="eastAsia" w:ascii="仿宋_GB2312" w:hAnsi="仿宋" w:eastAsia="仿宋_GB2312" w:cs="仿宋_GB2312"/>
          <w:b/>
          <w:bCs/>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firstLine="0"/>
        <w:rPr>
          <w:rFonts w:hint="eastAsia" w:ascii="仿宋_GB2312" w:hAnsi="仿宋" w:eastAsia="仿宋_GB2312" w:cs="仿宋_GB2312"/>
          <w:b/>
          <w:bCs/>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firstLine="0"/>
        <w:rPr>
          <w:rFonts w:hint="eastAsia" w:ascii="仿宋_GB2312" w:hAnsi="仿宋" w:eastAsia="仿宋_GB2312" w:cs="仿宋_GB2312"/>
          <w:b/>
          <w:bCs/>
          <w:sz w:val="32"/>
          <w:szCs w:val="32"/>
          <w:highlight w:val="none"/>
          <w:lang w:val="en-US" w:eastAsia="zh-CN" w:bidi="ar"/>
        </w:rPr>
      </w:pPr>
      <w:r>
        <w:rPr>
          <w:rFonts w:hint="eastAsia" w:ascii="仿宋_GB2312" w:hAnsi="仿宋" w:eastAsia="仿宋_GB2312" w:cs="仿宋_GB2312"/>
          <w:b/>
          <w:bCs/>
          <w:sz w:val="32"/>
          <w:szCs w:val="32"/>
          <w:highlight w:val="none"/>
          <w:lang w:val="en-US" w:eastAsia="zh-CN" w:bidi="ar"/>
        </w:rPr>
        <w:t>附件一：医保信用等级分级</w:t>
      </w:r>
    </w:p>
    <w:p>
      <w:pPr>
        <w:pStyle w:val="2"/>
        <w:rPr>
          <w:rFonts w:hint="eastAsia"/>
          <w:highlight w:val="none"/>
          <w:lang w:val="en-US" w:eastAsia="zh-CN"/>
        </w:rPr>
      </w:pPr>
    </w:p>
    <w:tbl>
      <w:tblPr>
        <w:tblStyle w:val="5"/>
        <w:tblW w:w="4999" w:type="pct"/>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29"/>
        <w:gridCol w:w="498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5" w:hRule="atLeast"/>
        </w:trPr>
        <w:tc>
          <w:tcPr>
            <w:tcW w:w="2072" w:type="pct"/>
            <w:tcBorders>
              <w:top w:val="single" w:color="auto" w:sz="6" w:space="0"/>
              <w:left w:val="nil"/>
              <w:bottom w:val="single" w:color="auto" w:sz="6" w:space="0"/>
              <w:right w:val="single" w:color="auto" w:sz="6" w:space="0"/>
            </w:tcBorders>
            <w:noWrap w:val="0"/>
            <w:tcMar>
              <w:left w:w="105" w:type="dxa"/>
              <w:right w:w="105" w:type="dxa"/>
            </w:tcMar>
            <w:vAlign w:val="center"/>
          </w:tcPr>
          <w:p>
            <w:pPr>
              <w:widowControl w:val="0"/>
              <w:wordWrap/>
              <w:spacing w:line="560" w:lineRule="exact"/>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信用等级</w:t>
            </w:r>
          </w:p>
        </w:tc>
        <w:tc>
          <w:tcPr>
            <w:tcW w:w="2927" w:type="pct"/>
            <w:tcBorders>
              <w:top w:val="single" w:color="auto" w:sz="6" w:space="0"/>
              <w:left w:val="nil"/>
              <w:bottom w:val="single" w:color="auto" w:sz="6" w:space="0"/>
              <w:right w:val="single" w:color="auto" w:sz="6" w:space="0"/>
            </w:tcBorders>
            <w:noWrap w:val="0"/>
            <w:tcMar>
              <w:left w:w="105" w:type="dxa"/>
              <w:right w:w="105" w:type="dxa"/>
            </w:tcMar>
            <w:vAlign w:val="center"/>
          </w:tcPr>
          <w:p>
            <w:pPr>
              <w:widowControl w:val="0"/>
              <w:wordWrap/>
              <w:spacing w:line="560" w:lineRule="exact"/>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分数参考区间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5" w:hRule="atLeast"/>
        </w:trPr>
        <w:tc>
          <w:tcPr>
            <w:tcW w:w="2072" w:type="pct"/>
            <w:tcBorders>
              <w:top w:val="nil"/>
              <w:left w:val="nil"/>
              <w:bottom w:val="single" w:color="auto" w:sz="6" w:space="0"/>
              <w:right w:val="single" w:color="auto" w:sz="6" w:space="0"/>
            </w:tcBorders>
            <w:noWrap w:val="0"/>
            <w:tcMar>
              <w:left w:w="105" w:type="dxa"/>
              <w:right w:w="105" w:type="dxa"/>
            </w:tcMar>
            <w:vAlign w:val="center"/>
          </w:tcPr>
          <w:p>
            <w:pPr>
              <w:widowControl w:val="0"/>
              <w:wordWrap/>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A+级</w:t>
            </w:r>
          </w:p>
        </w:tc>
        <w:tc>
          <w:tcPr>
            <w:tcW w:w="2927" w:type="pct"/>
            <w:tcBorders>
              <w:top w:val="nil"/>
              <w:left w:val="nil"/>
              <w:bottom w:val="single" w:color="auto" w:sz="6" w:space="0"/>
              <w:right w:val="single" w:color="auto" w:sz="6" w:space="0"/>
            </w:tcBorders>
            <w:noWrap w:val="0"/>
            <w:tcMar>
              <w:left w:w="105" w:type="dxa"/>
              <w:right w:w="105" w:type="dxa"/>
            </w:tcMar>
            <w:vAlign w:val="center"/>
          </w:tcPr>
          <w:p>
            <w:pPr>
              <w:widowControl w:val="0"/>
              <w:wordWrap/>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0分以上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5" w:hRule="atLeast"/>
        </w:trPr>
        <w:tc>
          <w:tcPr>
            <w:tcW w:w="2072" w:type="pct"/>
            <w:tcBorders>
              <w:top w:val="nil"/>
              <w:left w:val="nil"/>
              <w:bottom w:val="single" w:color="auto" w:sz="6" w:space="0"/>
              <w:right w:val="single" w:color="auto" w:sz="6" w:space="0"/>
            </w:tcBorders>
            <w:noWrap w:val="0"/>
            <w:tcMar>
              <w:left w:w="105" w:type="dxa"/>
              <w:right w:w="105" w:type="dxa"/>
            </w:tcMar>
            <w:vAlign w:val="center"/>
          </w:tcPr>
          <w:p>
            <w:pPr>
              <w:widowControl w:val="0"/>
              <w:wordWrap/>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A级</w:t>
            </w:r>
          </w:p>
        </w:tc>
        <w:tc>
          <w:tcPr>
            <w:tcW w:w="2927" w:type="pct"/>
            <w:tcBorders>
              <w:top w:val="nil"/>
              <w:left w:val="nil"/>
              <w:bottom w:val="single" w:color="auto" w:sz="6" w:space="0"/>
              <w:right w:val="single" w:color="auto" w:sz="6" w:space="0"/>
            </w:tcBorders>
            <w:noWrap w:val="0"/>
            <w:tcMar>
              <w:left w:w="105" w:type="dxa"/>
              <w:right w:w="105" w:type="dxa"/>
            </w:tcMar>
            <w:vAlign w:val="center"/>
          </w:tcPr>
          <w:p>
            <w:pPr>
              <w:widowControl w:val="0"/>
              <w:wordWrap/>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950-1049</w:t>
            </w:r>
            <w:r>
              <w:rPr>
                <w:rFonts w:hint="eastAsia" w:ascii="仿宋_GB2312" w:hAnsi="仿宋_GB2312" w:eastAsia="仿宋_GB2312" w:cs="仿宋_GB2312"/>
                <w:sz w:val="32"/>
                <w:szCs w:val="32"/>
                <w:highlight w:val="none"/>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5" w:hRule="atLeast"/>
        </w:trPr>
        <w:tc>
          <w:tcPr>
            <w:tcW w:w="2072" w:type="pct"/>
            <w:tcBorders>
              <w:top w:val="nil"/>
              <w:left w:val="nil"/>
              <w:bottom w:val="single" w:color="auto" w:sz="6" w:space="0"/>
              <w:right w:val="single" w:color="auto" w:sz="6" w:space="0"/>
            </w:tcBorders>
            <w:noWrap w:val="0"/>
            <w:tcMar>
              <w:left w:w="105" w:type="dxa"/>
              <w:right w:w="105" w:type="dxa"/>
            </w:tcMar>
            <w:vAlign w:val="center"/>
          </w:tcPr>
          <w:p>
            <w:pPr>
              <w:widowControl w:val="0"/>
              <w:wordWrap/>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B级</w:t>
            </w:r>
          </w:p>
        </w:tc>
        <w:tc>
          <w:tcPr>
            <w:tcW w:w="2927" w:type="pct"/>
            <w:tcBorders>
              <w:top w:val="nil"/>
              <w:left w:val="nil"/>
              <w:bottom w:val="single" w:color="auto" w:sz="6" w:space="0"/>
              <w:right w:val="single" w:color="auto" w:sz="6" w:space="0"/>
            </w:tcBorders>
            <w:noWrap w:val="0"/>
            <w:tcMar>
              <w:left w:w="105" w:type="dxa"/>
              <w:right w:w="105" w:type="dxa"/>
            </w:tcMar>
            <w:vAlign w:val="center"/>
          </w:tcPr>
          <w:p>
            <w:pPr>
              <w:widowControl w:val="0"/>
              <w:wordWrap/>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0—9</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9分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5" w:hRule="atLeast"/>
        </w:trPr>
        <w:tc>
          <w:tcPr>
            <w:tcW w:w="2072" w:type="pct"/>
            <w:tcBorders>
              <w:top w:val="nil"/>
              <w:left w:val="nil"/>
              <w:bottom w:val="single" w:color="auto" w:sz="6" w:space="0"/>
              <w:right w:val="single" w:color="auto" w:sz="6" w:space="0"/>
            </w:tcBorders>
            <w:noWrap w:val="0"/>
            <w:tcMar>
              <w:left w:w="105" w:type="dxa"/>
              <w:right w:w="105" w:type="dxa"/>
            </w:tcMar>
            <w:vAlign w:val="center"/>
          </w:tcPr>
          <w:p>
            <w:pPr>
              <w:widowControl w:val="0"/>
              <w:wordWrap/>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C级</w:t>
            </w:r>
          </w:p>
        </w:tc>
        <w:tc>
          <w:tcPr>
            <w:tcW w:w="2927" w:type="pct"/>
            <w:tcBorders>
              <w:top w:val="nil"/>
              <w:left w:val="nil"/>
              <w:bottom w:val="single" w:color="auto" w:sz="6" w:space="0"/>
              <w:right w:val="single" w:color="auto" w:sz="6" w:space="0"/>
            </w:tcBorders>
            <w:noWrap w:val="0"/>
            <w:tcMar>
              <w:left w:w="105" w:type="dxa"/>
              <w:right w:w="105" w:type="dxa"/>
            </w:tcMar>
            <w:vAlign w:val="center"/>
          </w:tcPr>
          <w:p>
            <w:pPr>
              <w:widowControl w:val="0"/>
              <w:wordWrap/>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lang w:val="en-US" w:eastAsia="zh-CN"/>
              </w:rPr>
              <w:t>899</w:t>
            </w:r>
            <w:r>
              <w:rPr>
                <w:rFonts w:hint="eastAsia" w:ascii="仿宋_GB2312" w:hAnsi="仿宋_GB2312" w:eastAsia="仿宋_GB2312" w:cs="仿宋_GB2312"/>
                <w:sz w:val="32"/>
                <w:szCs w:val="32"/>
                <w:highlight w:val="none"/>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5" w:hRule="atLeast"/>
        </w:trPr>
        <w:tc>
          <w:tcPr>
            <w:tcW w:w="2072" w:type="pct"/>
            <w:tcBorders>
              <w:top w:val="nil"/>
              <w:left w:val="nil"/>
              <w:bottom w:val="single" w:color="auto" w:sz="6" w:space="0"/>
              <w:right w:val="single" w:color="auto" w:sz="6" w:space="0"/>
            </w:tcBorders>
            <w:noWrap w:val="0"/>
            <w:tcMar>
              <w:left w:w="105" w:type="dxa"/>
              <w:right w:w="105" w:type="dxa"/>
            </w:tcMar>
            <w:vAlign w:val="center"/>
          </w:tcPr>
          <w:p>
            <w:pPr>
              <w:widowControl w:val="0"/>
              <w:wordWrap/>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C-级</w:t>
            </w:r>
          </w:p>
        </w:tc>
        <w:tc>
          <w:tcPr>
            <w:tcW w:w="2927" w:type="pct"/>
            <w:tcBorders>
              <w:top w:val="nil"/>
              <w:left w:val="nil"/>
              <w:bottom w:val="single" w:color="auto" w:sz="6" w:space="0"/>
              <w:right w:val="single" w:color="auto" w:sz="6" w:space="0"/>
            </w:tcBorders>
            <w:noWrap w:val="0"/>
            <w:tcMar>
              <w:left w:w="105" w:type="dxa"/>
              <w:right w:w="105" w:type="dxa"/>
            </w:tcMar>
            <w:vAlign w:val="center"/>
          </w:tcPr>
          <w:p>
            <w:pPr>
              <w:widowControl w:val="0"/>
              <w:wordWrap/>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0—8</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9分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5" w:hRule="atLeast"/>
        </w:trPr>
        <w:tc>
          <w:tcPr>
            <w:tcW w:w="2072" w:type="pct"/>
            <w:tcBorders>
              <w:top w:val="nil"/>
              <w:left w:val="nil"/>
              <w:bottom w:val="single" w:color="auto" w:sz="6" w:space="0"/>
              <w:right w:val="single" w:color="auto" w:sz="6" w:space="0"/>
            </w:tcBorders>
            <w:noWrap w:val="0"/>
            <w:tcMar>
              <w:left w:w="105" w:type="dxa"/>
              <w:right w:w="105" w:type="dxa"/>
            </w:tcMar>
            <w:vAlign w:val="center"/>
          </w:tcPr>
          <w:p>
            <w:pPr>
              <w:widowControl w:val="0"/>
              <w:wordWrap/>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D级</w:t>
            </w:r>
          </w:p>
        </w:tc>
        <w:tc>
          <w:tcPr>
            <w:tcW w:w="2927" w:type="pct"/>
            <w:tcBorders>
              <w:top w:val="nil"/>
              <w:left w:val="nil"/>
              <w:bottom w:val="single" w:color="auto" w:sz="6" w:space="0"/>
              <w:right w:val="single" w:color="auto" w:sz="6" w:space="0"/>
            </w:tcBorders>
            <w:noWrap w:val="0"/>
            <w:tcMar>
              <w:left w:w="105" w:type="dxa"/>
              <w:right w:w="105" w:type="dxa"/>
            </w:tcMar>
            <w:vAlign w:val="center"/>
          </w:tcPr>
          <w:p>
            <w:pPr>
              <w:widowControl w:val="0"/>
              <w:wordWrap/>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650—7</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9分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2072" w:type="pct"/>
            <w:tcBorders>
              <w:top w:val="nil"/>
              <w:left w:val="nil"/>
              <w:bottom w:val="single" w:color="auto" w:sz="6" w:space="0"/>
              <w:right w:val="single" w:color="auto" w:sz="6" w:space="0"/>
            </w:tcBorders>
            <w:noWrap w:val="0"/>
            <w:tcMar>
              <w:left w:w="105" w:type="dxa"/>
              <w:right w:w="105" w:type="dxa"/>
            </w:tcMar>
            <w:vAlign w:val="center"/>
          </w:tcPr>
          <w:p>
            <w:pPr>
              <w:widowControl w:val="0"/>
              <w:wordWrap/>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D-级</w:t>
            </w:r>
          </w:p>
        </w:tc>
        <w:tc>
          <w:tcPr>
            <w:tcW w:w="2927" w:type="pct"/>
            <w:tcBorders>
              <w:top w:val="nil"/>
              <w:left w:val="nil"/>
              <w:bottom w:val="single" w:color="auto" w:sz="6" w:space="0"/>
              <w:right w:val="single" w:color="auto" w:sz="6" w:space="0"/>
            </w:tcBorders>
            <w:noWrap w:val="0"/>
            <w:tcMar>
              <w:left w:w="105" w:type="dxa"/>
              <w:right w:w="105" w:type="dxa"/>
            </w:tcMar>
            <w:vAlign w:val="center"/>
          </w:tcPr>
          <w:p>
            <w:pPr>
              <w:widowControl w:val="0"/>
              <w:wordWrap/>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650分以下</w:t>
            </w:r>
          </w:p>
        </w:tc>
      </w:tr>
    </w:tbl>
    <w:p>
      <w:pPr>
        <w:rPr>
          <w:rFonts w:hint="eastAsia" w:ascii="仿宋_GB2312" w:hAnsi="仿宋" w:eastAsia="仿宋_GB2312" w:cs="仿宋_GB2312"/>
          <w:b/>
          <w:bCs/>
          <w:sz w:val="32"/>
          <w:szCs w:val="32"/>
          <w:highlight w:val="none"/>
          <w:lang w:val="en-US" w:eastAsia="zh-CN" w:bidi="ar"/>
        </w:rPr>
        <w:sectPr>
          <w:footerReference r:id="rId3" w:type="default"/>
          <w:pgSz w:w="11906" w:h="16838"/>
          <w:pgMar w:top="1440" w:right="1800" w:bottom="1440" w:left="1800" w:header="851" w:footer="992" w:gutter="0"/>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600" w:lineRule="exact"/>
        <w:ind w:firstLine="0"/>
        <w:rPr>
          <w:rFonts w:hint="eastAsia" w:ascii="仿宋_GB2312" w:hAnsi="仿宋" w:eastAsia="仿宋_GB2312" w:cs="仿宋_GB2312"/>
          <w:sz w:val="32"/>
          <w:szCs w:val="32"/>
          <w:highlight w:val="none"/>
          <w:lang w:val="en-US" w:eastAsia="zh-CN" w:bidi="ar"/>
        </w:rPr>
      </w:pPr>
      <w:r>
        <w:rPr>
          <w:rFonts w:hint="eastAsia" w:ascii="仿宋_GB2312" w:hAnsi="仿宋" w:eastAsia="仿宋_GB2312" w:cs="仿宋_GB2312"/>
          <w:b/>
          <w:bCs/>
          <w:sz w:val="32"/>
          <w:szCs w:val="32"/>
          <w:highlight w:val="none"/>
          <w:lang w:val="en-US" w:eastAsia="zh-CN" w:bidi="ar"/>
        </w:rPr>
        <w:t>附件二：定点医疗机构医保信用评价指标</w:t>
      </w:r>
    </w:p>
    <w:tbl>
      <w:tblPr>
        <w:tblStyle w:val="5"/>
        <w:tblW w:w="5524" w:type="pct"/>
        <w:tblInd w:w="-6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5"/>
        <w:gridCol w:w="762"/>
        <w:gridCol w:w="613"/>
        <w:gridCol w:w="775"/>
        <w:gridCol w:w="737"/>
        <w:gridCol w:w="6606"/>
        <w:gridCol w:w="840"/>
        <w:gridCol w:w="2145"/>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指标性质</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评价内容及要求</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评价方法</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7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47"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w:t>
            </w:r>
          </w:p>
        </w:tc>
        <w:tc>
          <w:tcPr>
            <w:tcW w:w="2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基础管理</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机构设置</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设立专门机构或者人员负责医疗保障基金使用管理工作。</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达不到要求扣10分。</w:t>
            </w:r>
          </w:p>
        </w:tc>
        <w:tc>
          <w:tcPr>
            <w:tcW w:w="7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协议履行评价规范</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条例三十九条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规章制度</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建立与基本医疗保险管理相适应的内部管理制度，包括医保管理制度、财务制度、统计信息管理制度、医疗质量安全核心制度等。</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每缺一项制度扣5分，最多扣20分。</w:t>
            </w:r>
          </w:p>
        </w:tc>
        <w:tc>
          <w:tcPr>
            <w:tcW w:w="7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协议履行评价规范</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条例三十九条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宣传培训</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①开展医疗保障政策、就医和结算流程等宣传，并提供相关咨询服务，并及时更新宣传内容；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②组织开展医疗保障基金相关制度、政策的培训；</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③参加由医疗保障行政部门或经办机构、稽核机构组织的宣传和培训。</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每项达不到要求扣5分。</w:t>
            </w:r>
          </w:p>
        </w:tc>
        <w:tc>
          <w:tcPr>
            <w:tcW w:w="7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协议履行评价规范</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条例十四条</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2号令十九条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信息系统</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①建立专门的信息化管理机构，配备专职人员，制定信息安全管理制度并有效执行，保障网络稳定畅通，严格执行信息保密制度；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②医院HIS系统与医疗保险信息系统有效对接，并采用安全有效隔离措施实现与互联网物理隔离；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③医院HIS系统与医保智能监控系统有效对接，并使医保智能监控规则嵌入医院信息系统，并实现应用；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④按照规定通过医疗保障信息系统传送医疗保障基金使用有关数据。</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每项达不到要求扣10分。</w:t>
            </w:r>
          </w:p>
        </w:tc>
        <w:tc>
          <w:tcPr>
            <w:tcW w:w="7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协议履行评价规范</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条例三十九条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收费规定</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①医疗服务项目价格严格按照协议条款执行；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②执行价格有关法律规定，在收费场所显著位置明码标价；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③市场调节价和自主定价项目应做好知情告知，不得纳入医保支付。</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每项达不到要求扣10分。</w:t>
            </w:r>
          </w:p>
        </w:tc>
        <w:tc>
          <w:tcPr>
            <w:tcW w:w="7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协议履行评价规范</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条例三十九条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①及时做好定点医疗机构、医师、护士等医保编码工作，及时入库，动态调整，国家赋码后同步更新；</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②配合做好三目录、费用结算清单等国家统一编码落地实施工作。</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每项达不到要求扣10分。</w:t>
            </w:r>
          </w:p>
        </w:tc>
        <w:tc>
          <w:tcPr>
            <w:tcW w:w="7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报送制度</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①按照规定及时准确报送各类统计报表、年度工作总结等；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②按照规定向医疗保障行政部门报告医疗保障基金使用监督管理所需信息；</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③按照规定向社会公开医药费用、费用结构等信息。</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未按规定报送的，每次扣5分，最多扣15分。</w:t>
            </w:r>
          </w:p>
        </w:tc>
        <w:tc>
          <w:tcPr>
            <w:tcW w:w="7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协议履行评价规范</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条例三十九条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凭证管理</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按照规定保管财务账目、会计凭证、处方、病历、治疗检查记录、费用明细、药品和医用耗材出入库记录等资料。</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未按规定保管的，每项扣5分，最多扣40分。</w:t>
            </w:r>
          </w:p>
        </w:tc>
        <w:tc>
          <w:tcPr>
            <w:tcW w:w="7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条例三十九条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变更备案</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机构名称、执业地址等发生变化时，及时向医疗保障部门提供相关材料备案，申请变更。</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发生变更未按规定办理相关手续的，发现一次扣10分</w:t>
            </w:r>
          </w:p>
        </w:tc>
        <w:tc>
          <w:tcPr>
            <w:tcW w:w="7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操作手册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费用控制</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门诊次均费用增长率</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年度门诊次均费用=年度门诊费用总额/年度门诊总人次</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门诊次均费用增长率=(本年度门诊次均费用-上年度门诊次均费用)/上年度门诊次均费用×100%</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线上考核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1.包括门诊统筹和门诊慢特病。</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2.各统筹区根据本地同级定点医疗机构增长率分布情况，从低到高依次平均划分为三个区间，第一区间得满分；第二区间扣10分；第三区间扣20分。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3.对于增长率分布离散程度较大的，划分区间时可剔除部分过高或过低的数据。过低的增长率参照第一区间评分，过高的增长率参照第三区间评分。</w:t>
            </w:r>
          </w:p>
        </w:tc>
        <w:tc>
          <w:tcPr>
            <w:tcW w:w="7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门诊目录外自费率</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门诊目录外自费率=门诊全额自费项目总额/门诊费用总额×100%</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线上考核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1.包括门诊统筹和门诊慢特病</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2.最小值低优，各统筹区根据本地同级定点医疗机构自费率情况，合理设置一个低位区间，每高于该区间1个百分点扣2分，最多扣30分。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住院次均费用增长率</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年度住院次均费用=年度住院费用总额/年度住院总人次</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住院次均费用增长率=(本年度住院次均费用-上年度住院次均费用)/上年度住院次均费用×100%</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线上考核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1.各统筹区根据本地同级定点医疗机构增长率分布情况，从低到高依次平均划分为三个区间，第一区间得满分；第二区间扣10分；第三区间扣20分。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2.对于增长率分布离散程度较大的，划分区间时可剔除部分过高或过低的数据。过低的增长率参照第一区间评分，过高的增长率参照第三区间评分。</w:t>
            </w:r>
          </w:p>
        </w:tc>
        <w:tc>
          <w:tcPr>
            <w:tcW w:w="7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住院率增幅</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住院率=年度出院人次数/年度门诊就医人次数×100%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住院率增幅=丨本年度住院率-上年度住院率丨</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线上考核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1.实际值中优，各统筹区根据本地同级定点医疗机构住院率增幅分布情况，从低到高依次平均划分为三个区间，第一区间得满分；第二区间扣10分；第三区间扣20分。(受政策影响较大的酌情扣分)。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2.对于住院率分布离散程度较大的，划分区间时可剔除部分过高或过低的数据。过低的增幅参照第一区间评分，过高的增幅参照第三区间评分。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住院目录外自费率</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住院目录外自费率=住院全额自费项目总额/住院费用总额×100%</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线上考核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最小值低优，各统筹区根据本地同级定点医疗机构自费率情况，合理设置一个低位区间，每高于该区间1个百分点扣2分，最多扣30分。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医疗费用总额增长率</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医疗费用总额增长率=(本年度医疗费用总额-上年度医疗费用总额)/上年度医疗费用总额×100%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排除合理因素(新增就医人次、医疗服务价格调整、重病患者比例高等)影响。</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线上考核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1.医疗费用总额由普通门(急)诊、门诊慢特病、住院费用组成。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各统筹区根据本地同级定点医疗机构增长率分布情况，从低到高依次平均划分为四个区间，第一区间得满分；第二区间扣10分；第三区间扣20分，第四区间扣30分。原则上，增长率第一区间最低值不应大于本地物价上涨指数。</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3.对于增长率分布离散程度较大的，划分区间时可剔除部分过高或过低的数据。过低的增长率参照第一区间评分，过高的增长率参照第三区间评分。</w:t>
            </w:r>
          </w:p>
        </w:tc>
        <w:tc>
          <w:tcPr>
            <w:tcW w:w="7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费用分析制度</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根据要求建立院内医疗费用分析制度，合理科学设置各项指标，定期向医保经办机构说明医疗费用的管控情况。</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未按规定建立的扣5分，未定期向医保经办机构说明的扣5分，最多扣10分。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行为规范</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就医核验</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①对就诊的参保人进行身份识别，查验参保人身份证、医保凭证等，确保人证一致；</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②非经医保经办机构书面授权，不得以任何理由收集、留存参保人员医疗保障有效凭证。</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日常考核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未按规定执行而出现冒名就医的，每例扣5分；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未按规定收集、留存参保人员医疗保障有效凭证的，每例扣2分。本项最多扣20分。</w:t>
            </w:r>
          </w:p>
        </w:tc>
        <w:tc>
          <w:tcPr>
            <w:tcW w:w="7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资格认定</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做好门诊慢特病资格认定和信息备案工作，由专人负责，制定行之有效的门诊慢特病管理制度和工作程序。</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未配备专人负责的扣5分，未按规定建立门诊慢特病管理制度和工作程序的扣15分。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知情同意</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①因住院病情需要使用医保目录外药品或诊疗项目的，应书面告知参保人，严格执行全额自费项目知情同意签字制度；</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②能够向参保人员提供门诊、住院费用结算清单和住院日费用清单。</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除急诊、抢救等特殊情形外，自费项目未经参保患者签字同意的每例扣5分，未按规定提供费用清单的每例扣5分。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本项最多扣20分。</w:t>
            </w:r>
          </w:p>
        </w:tc>
        <w:tc>
          <w:tcPr>
            <w:tcW w:w="7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协议履行评价规范</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条例三十九条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处方流转</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严格执行门诊处方外配制度，参保人员要求到定点零售药店购药时，不得以任何理由拒绝，并及时为患者办理必要的门诊处方外配手续。</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未按规定执行的不得分，执行不好的视情况扣5分-10分。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异地就医</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按规定对异地就医参保人员提供合理的医疗服务，办理联网结算，与当地参保人一并纳入医保管理服务，执行就医地DRG、DIP支付结算标准，无正当理由不得拒绝为异地参保人员即时结算费用。</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未按规定执行的，每例扣5分，最多扣20分。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目录维护</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新增药品、医用耗材(含自费项目)的，应按要求提交新增申请材料，经办机构反馈后，及时做好对应维护。</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未按时提交审核备案或做出对应维护的，每次扣5分，最多扣10分。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结算要求</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①按规定的程序和时限，通过日对账正确上传数据，及时向医保经办机构申报医疗费用；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②协助医保经办机构对参保人员所发生的有疑义的医疗费用进行复核，并按规定时间进行疑点反馈；</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③ 优化医保结算流程，为参保人员提供便捷的医疗服务，按规定进行医保费用直接结算，提供费用结算单据和相关资料。</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未及时申报医疗费用的，每次扣5分；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未协助医保经办机构稽核的，每次扣5分。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本项最多扣20分。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付费方式</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①按规定开展DRG、DIP付费方式改革；</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②落实协议总额预算控制指标，结合本院实际制定费用控制办法，不能将指标简单分解到科室；</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③推行临床路径管理，提高诊疗行为透明度，将费用、患者负担水平等指标定期公开，为参保人就医选择提供参考。</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第①项达不到要求扣10分；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第②③项每一项达不到要求扣5分。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药械集采</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公立医疗机构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①严格执行集采政策，参加集采工作并按要求报量；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②畅通中选药品和医用耗材入院渠道，并按时完成约定采购量；</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③严格执行网上采购政策，不得违规网下采购。</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1.一个评价年度内临床需求药品耗材未参加集采工作的扣10分，未完成约定采购量的扣5分。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2.不严格执行网上采购政策，违规网下采购的扣10分。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本项最多扣40分。</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药品管理</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①建立健全药品“进、销、存”全流程记录和管理制度、药品供应制度；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②优先配备使用医保药品，按规定配备国家谈判药品和省谈判药品；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③加强医疗机构药事管理，严格掌握目录内药品限定支付范围并留存用药依据。</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每缺一项制度扣5分；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未优先配备使用集采药品扣10分，未按规定配备谈判药品的扣10分；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医保药品未按限定支付范围使用的，每例扣10分。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本项最多扣40分。</w:t>
            </w:r>
          </w:p>
        </w:tc>
        <w:tc>
          <w:tcPr>
            <w:tcW w:w="7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医用耗材</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①取消公立医疗机构医用耗材加成，所有允许单独向患者收费的医用耗材，以实际购进价格“零差率”销售；公立医疗机构不得在实际购进价格之外接受经营者给予的价格折扣或其他形式的折扣。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②以成本形式打包计入医疗服务价格的医用耗材，不得另行收费；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③严格执行医用耗材临床使用的事前评估、事中跟踪和事后评价制度；建立高值医用耗材使用分析评价，严格控制高值医用耗材使用比例。</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未取消耗材加成的扣10分，出现接受经营者给予折扣的扣30分；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对打包耗材另行收费的，扣10分；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未执行医用耗材相关临床规定的扣10分。</w:t>
            </w:r>
          </w:p>
        </w:tc>
        <w:tc>
          <w:tcPr>
            <w:tcW w:w="7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药款结算</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集采药品耗材全部纳入医保基金与医药企业直接结算，严格按政策规定审核确认应付款项。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不参加直接结算的扣10分；无故拖延审核确认时间的扣5分，反复出现的扣10分。</w:t>
            </w:r>
          </w:p>
        </w:tc>
        <w:tc>
          <w:tcPr>
            <w:tcW w:w="24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挂账处理</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被当地医保经办机构拒付的医疗费用、超支分担机制下医疗机构按比例承担费用，应当在规定时限内作相应的财务处理。</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未及时做处理的扣20分。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自查自纠</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定期检查本单位医疗保障基金使用情况，及时纠正医疗保障基金使用不规范的行为</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达不到要求扣10分。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协议履行评价规范</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条例十四条</w:t>
            </w:r>
          </w:p>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2号令十九条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工作配合</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配合医疗保障部门开展智能监控审核稽核、履约考核、监督检查等。</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拒绝、阻挠或不配合医疗保障部门开展智能审核、履约考核、监督检查等或者提供虚假情况，扣20分。</w:t>
            </w:r>
          </w:p>
        </w:tc>
        <w:tc>
          <w:tcPr>
            <w:tcW w:w="7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条例三十九条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服务质量</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就医指导</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公布医保就医流程、设置明显的就医标识；设立医保患者挂号、结算窗口和门诊慢特病、特殊群体专用窗口。</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就医流程和标识不明确的扣10分；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无专用服务窗口或专用窗口不能满足需求扣10分。</w:t>
            </w:r>
          </w:p>
        </w:tc>
        <w:tc>
          <w:tcPr>
            <w:tcW w:w="7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窗口服务</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窗口工作人员热情耐心接待参保人，礼貌待人，使用规范化服务用语，有问必答，做到首问负责制，耐心做好解释工作。</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存在服务态度差、接待用语不合规、敷衍推诿病人的，每项扣5分，最多扣10分。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34</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接诊要求</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执行首诊医师负责制，不得无故拒收、推诿参保人；住院期间不得要求参保人到门诊或药店购药（双通道购药除外）；不得要求住院参保人外购医保目录内药品。</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每一项规定未执行的扣5分，最多扣10分。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病案规范</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①提高病案首页质量，按照国家统一规定规范填写病案首页，加强临床数据标准化、规范化管理，为推广按疾病诊断相关分组付费打牢基础；</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②接诊意外伤害的参保人时，须如实及时完整记录致伤原因和意外受伤的情形。</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随机抽取病历，达不到要求的每例扣5分，最多扣20分。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电子凭证</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及时做好系统接口改造，满足参保人使用医保电子凭证就医，以扫码为交互方式，实现在线医保结算。</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达不到要求扣10分。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37</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数据质量</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①确保向医保经办机构传输的参保人就医、结算及其他相关信息均由信息系统自动生成，真实、准确并实时传输，不得人为篡改作假；</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②严格执行信息网络管理有关规定，做好数据备份。</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参保人员医疗费用信息上传达不到要求的，每例扣2分；数据未备份扣10分。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应急预案</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制定应急预案，因信息系统出现故障并影响参保人就医结算时，须及时通知医保经办机构并启动应急预案，做好解释工作。</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未制定应急预案的扣5分，未及时启动的扣5分。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nil"/>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39</w:t>
            </w:r>
          </w:p>
        </w:tc>
        <w:tc>
          <w:tcPr>
            <w:tcW w:w="247"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满意度评价</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①满意度测评，采用随机公开的方式，发放满意度测评表，分别对住院参保患者和门诊参保患者满意度进行调查：门诊(住院)参保患者满意度=评价满意的被调查门诊(住院)参保患者人数/接受调查的门诊(住院)参保患者总数×100%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②利用第三方评价，抽取部分药品、医用耗材供应商，对定点医疗机构结算和履约情况进行调查。</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问卷调查</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扣除分值=（1-满意度）×40（分）。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47"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媒体报道</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本机构被主流媒体报道，经医疗保障部门认可的，按照报道数量赋分。</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日常抽查</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根据期内被媒体报道关于医疗保障工作情况的，正面情况每例加10分，最多加20分；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负面情况每例扣10分，最多扣20分；多家媒体报道同一事件不重复计分。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操作手册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7"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协议履行</w:t>
            </w:r>
          </w:p>
        </w:tc>
        <w:tc>
          <w:tcPr>
            <w:tcW w:w="243"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协议处理</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约谈</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定量</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被医疗保障经办机构约谈的。</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按次数扣分，每次扣50分。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2号令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7"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43"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通报</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定量</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被医疗保障部门通报的。</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按次数扣分，每次扣100分。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7"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43"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追回费用</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定量</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被医疗保障经办机构追回费用。</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日常抽查</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按金额扣分，计算公式为：追回费用金额/本机构医保基金支付总额×500分。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2号令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7"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43"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拒付费用</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定量</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被医疗保障经办机构拒付费用。</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日常抽查</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按金额扣分，计算公式为：拒付费用金额/本机构医保基金支付总额×500分。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2号令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7"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43"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中止协议</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定量</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被医疗保障部门中止协议的。</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日常抽查</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按累计月份扣分，不满3个月的扣10分，满3个月不满6个月的扣20分，6个月以上的扣50分。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2号令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7"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43"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医保医师处理</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定量</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被暂停或中止处方权的，取消医疗保障医师资格的。</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日常抽查</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按次数扣分，每次扣10分，最多扣50分。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操作手册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7"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43"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科室处理</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定量</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被暂停医疗保障结算的。</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日常抽查</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按数量扣分，每次扣10分，最多扣50分。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操作手册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2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基金监管</w:t>
            </w:r>
          </w:p>
        </w:tc>
        <w:tc>
          <w:tcPr>
            <w:tcW w:w="2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一般处理</w:t>
            </w:r>
          </w:p>
        </w:tc>
        <w:tc>
          <w:tcPr>
            <w:tcW w:w="195"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w:t>
            </w:r>
          </w:p>
        </w:tc>
        <w:tc>
          <w:tcPr>
            <w:tcW w:w="247"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约谈</w:t>
            </w:r>
          </w:p>
        </w:tc>
        <w:tc>
          <w:tcPr>
            <w:tcW w:w="235"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定量</w:t>
            </w:r>
          </w:p>
        </w:tc>
        <w:tc>
          <w:tcPr>
            <w:tcW w:w="2109"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被医疗保障部门约谈的。</w:t>
            </w:r>
          </w:p>
        </w:tc>
        <w:tc>
          <w:tcPr>
            <w:tcW w:w="268"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日常抽查</w:t>
            </w:r>
          </w:p>
        </w:tc>
        <w:tc>
          <w:tcPr>
            <w:tcW w:w="684"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按次数扣分，每次扣50分。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操作手册</w:t>
            </w:r>
          </w:p>
          <w:p>
            <w:pPr>
              <w:pStyle w:val="2"/>
              <w:jc w:val="center"/>
              <w:rPr>
                <w:rFonts w:hint="eastAsia"/>
              </w:rPr>
            </w:pPr>
            <w:r>
              <w:rPr>
                <w:rFonts w:hint="eastAsia" w:ascii="宋体" w:hAnsi="宋体" w:cs="宋体"/>
                <w:i w:val="0"/>
                <w:iCs w:val="0"/>
                <w:color w:val="000000"/>
                <w:kern w:val="0"/>
                <w:sz w:val="22"/>
                <w:szCs w:val="22"/>
                <w:u w:val="none"/>
                <w:lang w:val="en-US" w:eastAsia="zh-CN" w:bidi="ar"/>
              </w:rPr>
              <w:t>条例三十八、三十九、四十条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247"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整改</w:t>
            </w:r>
          </w:p>
        </w:tc>
        <w:tc>
          <w:tcPr>
            <w:tcW w:w="235"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定量</w:t>
            </w:r>
          </w:p>
        </w:tc>
        <w:tc>
          <w:tcPr>
            <w:tcW w:w="2109"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被医疗保障部门责令整改的。</w:t>
            </w:r>
          </w:p>
        </w:tc>
        <w:tc>
          <w:tcPr>
            <w:tcW w:w="268"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日常抽查</w:t>
            </w:r>
          </w:p>
        </w:tc>
        <w:tc>
          <w:tcPr>
            <w:tcW w:w="684"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按次数扣分，每次扣50分。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条例三十八、三十九条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行政处罚</w:t>
            </w:r>
          </w:p>
        </w:tc>
        <w:tc>
          <w:tcPr>
            <w:tcW w:w="195"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w:t>
            </w:r>
          </w:p>
        </w:tc>
        <w:tc>
          <w:tcPr>
            <w:tcW w:w="247"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235"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w:t>
            </w:r>
          </w:p>
        </w:tc>
        <w:tc>
          <w:tcPr>
            <w:tcW w:w="2109"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被医疗保障行政部门罚款。</w:t>
            </w:r>
          </w:p>
        </w:tc>
        <w:tc>
          <w:tcPr>
            <w:tcW w:w="268"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日常抽查</w:t>
            </w:r>
          </w:p>
        </w:tc>
        <w:tc>
          <w:tcPr>
            <w:tcW w:w="684"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按金额扣分，计算公式为：罚款费用金额/本机构医保基金支付总额×500分。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操作手册</w:t>
            </w:r>
          </w:p>
          <w:p>
            <w:pPr>
              <w:pStyle w:val="2"/>
              <w:jc w:val="center"/>
              <w:rPr>
                <w:rFonts w:hint="eastAsia"/>
              </w:rPr>
            </w:pPr>
            <w:r>
              <w:rPr>
                <w:rFonts w:hint="eastAsia" w:ascii="宋体" w:hAnsi="宋体" w:cs="宋体"/>
                <w:i w:val="0"/>
                <w:iCs w:val="0"/>
                <w:color w:val="000000"/>
                <w:kern w:val="0"/>
                <w:sz w:val="22"/>
                <w:szCs w:val="22"/>
                <w:u w:val="none"/>
                <w:lang w:val="en-US" w:eastAsia="zh-CN" w:bidi="ar"/>
              </w:rPr>
              <w:t>条例三十八、三十九、四十条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其他行为</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w:t>
            </w:r>
          </w:p>
        </w:tc>
        <w:tc>
          <w:tcPr>
            <w:tcW w:w="2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其他行为</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其他骗取医疗保障基金支出的行为。</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视情况扣除。</w:t>
            </w:r>
          </w:p>
        </w:tc>
        <w:tc>
          <w:tcPr>
            <w:tcW w:w="7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条例四十条</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社会信用</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行政处理</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2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行政处罚</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定量</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被政府有关行政部门给予行政处罚情况。</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日常抽查</w:t>
            </w:r>
          </w:p>
        </w:tc>
        <w:tc>
          <w:tcPr>
            <w:tcW w:w="6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按次数扣分，每次扣15分，最多扣180分。</w:t>
            </w:r>
          </w:p>
        </w:tc>
        <w:tc>
          <w:tcPr>
            <w:tcW w:w="7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操作手册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奖励情况</w:t>
            </w:r>
          </w:p>
        </w:tc>
        <w:tc>
          <w:tcPr>
            <w:tcW w:w="2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表彰奖励</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53</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政府表彰</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受到党委、人民政府表彰奖励的。</w:t>
            </w:r>
          </w:p>
        </w:tc>
        <w:tc>
          <w:tcPr>
            <w:tcW w:w="2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主动上报</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县级每次计加5分，市级每次计加10分，省级每次计加20分，国家级每次计加50分。</w:t>
            </w:r>
          </w:p>
        </w:tc>
        <w:tc>
          <w:tcPr>
            <w:tcW w:w="768" w:type="pct"/>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鲁发改信用〔2020〕808号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54</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医保表彰</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受到医疗保障行政部门通报表扬。</w:t>
            </w:r>
          </w:p>
        </w:tc>
        <w:tc>
          <w:tcPr>
            <w:tcW w:w="2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主动上报</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市级每次计加5分，省级每次计加10分，国家级每次计加20分。</w:t>
            </w:r>
          </w:p>
        </w:tc>
        <w:tc>
          <w:tcPr>
            <w:tcW w:w="768" w:type="pct"/>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工作配合</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55</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参与试点改革</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积极参与市级及以上医保试点改革等工作的，受到医疗保障部门认可，并出具相关证明材料。</w:t>
            </w:r>
          </w:p>
        </w:tc>
        <w:tc>
          <w:tcPr>
            <w:tcW w:w="2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主动上报</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市级每次计加10分，省级每次计加20分，国家级每次计加50分。</w:t>
            </w:r>
          </w:p>
        </w:tc>
        <w:tc>
          <w:tcPr>
            <w:tcW w:w="768"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鲁发改信用〔2020〕808号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56</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药品采购</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w:t>
            </w:r>
          </w:p>
        </w:tc>
        <w:tc>
          <w:tcPr>
            <w:tcW w:w="2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属于医保基金结算的药品,非公立医疗机构按照不高于采购平台中标或挂网价向参保人销售。</w:t>
            </w:r>
          </w:p>
        </w:tc>
        <w:tc>
          <w:tcPr>
            <w:tcW w:w="2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主动上报</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每次计加10分。</w:t>
            </w:r>
          </w:p>
        </w:tc>
        <w:tc>
          <w:tcPr>
            <w:tcW w:w="7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57</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自查自纠</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w:t>
            </w:r>
          </w:p>
        </w:tc>
        <w:tc>
          <w:tcPr>
            <w:tcW w:w="2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按照主动回退金额予以加分。</w:t>
            </w:r>
          </w:p>
        </w:tc>
        <w:tc>
          <w:tcPr>
            <w:tcW w:w="2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主动上报</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按金额加分，计算公式为：主动回退金额/本统筹区所有定点医疗机构自查自纠主动退回金额×50分。</w:t>
            </w:r>
          </w:p>
        </w:tc>
        <w:tc>
          <w:tcPr>
            <w:tcW w:w="7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公益活动</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58</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公益活动</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w:t>
            </w:r>
          </w:p>
        </w:tc>
        <w:tc>
          <w:tcPr>
            <w:tcW w:w="21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主动参加医疗保障部门组织的公益活动，受到医疗保障部门认可。</w:t>
            </w:r>
          </w:p>
        </w:tc>
        <w:tc>
          <w:tcPr>
            <w:tcW w:w="2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主动上报</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每次计加5分。</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鲁发改信用〔2020〕808号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7" w:type="pct"/>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其他奖励情况</w:t>
            </w:r>
          </w:p>
        </w:tc>
        <w:tc>
          <w:tcPr>
            <w:tcW w:w="195"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59</w:t>
            </w:r>
          </w:p>
        </w:tc>
        <w:tc>
          <w:tcPr>
            <w:tcW w:w="247"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其他奖励情况</w:t>
            </w:r>
          </w:p>
        </w:tc>
        <w:tc>
          <w:tcPr>
            <w:tcW w:w="235"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医疗保障部门认定的其他奖励性措施。</w:t>
            </w:r>
          </w:p>
        </w:tc>
        <w:tc>
          <w:tcPr>
            <w:tcW w:w="268"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主动上报</w:t>
            </w:r>
          </w:p>
        </w:tc>
        <w:tc>
          <w:tcPr>
            <w:tcW w:w="684"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视情况计加。</w:t>
            </w:r>
          </w:p>
        </w:tc>
        <w:tc>
          <w:tcPr>
            <w:tcW w:w="768"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鲁发改信用〔2020〕808号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7" w:type="pct"/>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一票否决</w:t>
            </w:r>
          </w:p>
        </w:tc>
        <w:tc>
          <w:tcPr>
            <w:tcW w:w="2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失信被执行人</w:t>
            </w:r>
          </w:p>
        </w:tc>
        <w:tc>
          <w:tcPr>
            <w:tcW w:w="1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60</w:t>
            </w:r>
          </w:p>
        </w:tc>
        <w:tc>
          <w:tcPr>
            <w:tcW w:w="2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失信被执行人</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医疗机构或其法人被纳入公共信用系统失信名单的情况。</w:t>
            </w:r>
          </w:p>
        </w:tc>
        <w:tc>
          <w:tcPr>
            <w:tcW w:w="26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日常抽查</w:t>
            </w:r>
          </w:p>
        </w:tc>
        <w:tc>
          <w:tcPr>
            <w:tcW w:w="6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一票否决，扣360分。</w:t>
            </w:r>
          </w:p>
        </w:tc>
        <w:tc>
          <w:tcPr>
            <w:tcW w:w="76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操作手册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7" w:type="pct"/>
            <w:vMerge w:val="continue"/>
            <w:tcBorders>
              <w:left w:val="single" w:color="auto" w:sz="4" w:space="0"/>
              <w:right w:val="single" w:color="auto" w:sz="4" w:space="0"/>
            </w:tcBorders>
            <w:noWrap w:val="0"/>
            <w:vAlign w:val="top"/>
          </w:tcPr>
          <w:p>
            <w:pPr>
              <w:jc w:val="center"/>
              <w:rPr>
                <w:rFonts w:hint="eastAsia" w:ascii="宋体" w:hAnsi="宋体" w:eastAsia="宋体" w:cs="宋体"/>
                <w:i w:val="0"/>
                <w:iCs w:val="0"/>
                <w:color w:val="000000"/>
                <w:sz w:val="22"/>
                <w:szCs w:val="22"/>
                <w:u w:val="none"/>
              </w:rPr>
            </w:pPr>
          </w:p>
        </w:tc>
        <w:tc>
          <w:tcPr>
            <w:tcW w:w="243" w:type="pct"/>
            <w:tcBorders>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司法处理</w:t>
            </w:r>
          </w:p>
        </w:tc>
        <w:tc>
          <w:tcPr>
            <w:tcW w:w="1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61</w:t>
            </w:r>
          </w:p>
        </w:tc>
        <w:tc>
          <w:tcPr>
            <w:tcW w:w="2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欺诈骗保</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定点医疗机构及其工作人员因欺诈、伪造证明材料或其他手段骗取医疗保障基金或者医疗保障待遇被司法机关追究刑事责任的。</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日常抽查</w:t>
            </w:r>
          </w:p>
        </w:tc>
        <w:tc>
          <w:tcPr>
            <w:tcW w:w="6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一票否决，扣360分。</w:t>
            </w:r>
          </w:p>
        </w:tc>
        <w:tc>
          <w:tcPr>
            <w:tcW w:w="7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操作手册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7" w:type="pct"/>
            <w:vMerge w:val="continue"/>
            <w:tcBorders>
              <w:left w:val="single" w:color="auto" w:sz="4" w:space="0"/>
              <w:right w:val="single" w:color="auto" w:sz="4" w:space="0"/>
            </w:tcBorders>
            <w:noWrap w:val="0"/>
            <w:vAlign w:val="top"/>
          </w:tcPr>
          <w:p>
            <w:pPr>
              <w:jc w:val="center"/>
              <w:rPr>
                <w:rFonts w:hint="eastAsia" w:ascii="宋体" w:hAnsi="宋体" w:eastAsia="宋体" w:cs="宋体"/>
                <w:i w:val="0"/>
                <w:iCs w:val="0"/>
                <w:color w:val="000000"/>
                <w:sz w:val="22"/>
                <w:szCs w:val="22"/>
                <w:u w:val="none"/>
              </w:rPr>
            </w:pPr>
          </w:p>
        </w:tc>
        <w:tc>
          <w:tcPr>
            <w:tcW w:w="243"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协议处理</w:t>
            </w:r>
          </w:p>
        </w:tc>
        <w:tc>
          <w:tcPr>
            <w:tcW w:w="1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62</w:t>
            </w:r>
          </w:p>
        </w:tc>
        <w:tc>
          <w:tcPr>
            <w:tcW w:w="2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解除协议</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被医疗保障部门解除协议的。</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日常抽查</w:t>
            </w:r>
          </w:p>
        </w:tc>
        <w:tc>
          <w:tcPr>
            <w:tcW w:w="6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一票否决，扣360分。</w:t>
            </w:r>
          </w:p>
        </w:tc>
        <w:tc>
          <w:tcPr>
            <w:tcW w:w="7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操作手册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7" w:type="pct"/>
            <w:vMerge w:val="continue"/>
            <w:tcBorders>
              <w:left w:val="single" w:color="auto" w:sz="4" w:space="0"/>
              <w:right w:val="single" w:color="auto" w:sz="4" w:space="0"/>
            </w:tcBorders>
            <w:noWrap w:val="0"/>
            <w:vAlign w:val="top"/>
          </w:tcPr>
          <w:p>
            <w:pPr>
              <w:jc w:val="center"/>
              <w:rPr>
                <w:rFonts w:hint="eastAsia" w:ascii="宋体" w:hAnsi="宋体" w:eastAsia="宋体" w:cs="宋体"/>
                <w:i w:val="0"/>
                <w:iCs w:val="0"/>
                <w:color w:val="000000"/>
                <w:sz w:val="22"/>
                <w:szCs w:val="22"/>
                <w:u w:val="none"/>
              </w:rPr>
            </w:pPr>
          </w:p>
        </w:tc>
        <w:tc>
          <w:tcPr>
            <w:tcW w:w="243" w:type="pct"/>
            <w:vMerge w:val="continue"/>
            <w:tcBorders>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63</w:t>
            </w:r>
          </w:p>
        </w:tc>
        <w:tc>
          <w:tcPr>
            <w:tcW w:w="2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变更备案</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医疗机构名称、执业地址等发生变化时，及时向医疗保障部门提供相关材料备案，被发现重大信息发生变更,经医保经办机构责令整改，但未在规定时间内办理重大信息变更的。</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一票否决，扣360分。</w:t>
            </w:r>
          </w:p>
        </w:tc>
        <w:tc>
          <w:tcPr>
            <w:tcW w:w="7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2号令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7" w:type="pct"/>
            <w:vMerge w:val="continue"/>
            <w:tcBorders>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行为规范</w:t>
            </w:r>
          </w:p>
        </w:tc>
        <w:tc>
          <w:tcPr>
            <w:tcW w:w="1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2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工作配合</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定性</w:t>
            </w:r>
          </w:p>
        </w:tc>
        <w:tc>
          <w:tcPr>
            <w:tcW w:w="21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不配合医疗保障部门开展智能监控审核稽核、履约考核、监督检查等，情节恶劣的。</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年度考核</w:t>
            </w:r>
          </w:p>
        </w:tc>
        <w:tc>
          <w:tcPr>
            <w:tcW w:w="6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一票否决，扣360分。</w:t>
            </w:r>
          </w:p>
        </w:tc>
        <w:tc>
          <w:tcPr>
            <w:tcW w:w="7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条例三十九条</w:t>
            </w:r>
          </w:p>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2号令</w:t>
            </w:r>
          </w:p>
        </w:tc>
      </w:tr>
    </w:tbl>
    <w:p>
      <w:pPr>
        <w:rPr>
          <w:rFonts w:hint="eastAsia" w:ascii="仿宋_GB2312" w:hAnsi="仿宋" w:eastAsia="仿宋_GB2312" w:cs="仿宋_GB2312"/>
          <w:sz w:val="32"/>
          <w:szCs w:val="32"/>
          <w:highlight w:val="none"/>
          <w:lang w:val="en-US" w:eastAsia="zh-CN" w:bidi="ar"/>
        </w:rPr>
      </w:pPr>
    </w:p>
    <w:p>
      <w:pPr>
        <w:rPr>
          <w:rFonts w:hint="eastAsia" w:ascii="仿宋_GB2312" w:hAnsi="仿宋" w:eastAsia="仿宋_GB2312" w:cs="仿宋_GB2312"/>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firstLine="0"/>
        <w:rPr>
          <w:rFonts w:hint="eastAsia" w:ascii="仿宋_GB2312" w:hAnsi="仿宋" w:eastAsia="仿宋_GB2312" w:cs="仿宋_GB2312"/>
          <w:b/>
          <w:bCs/>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firstLine="0"/>
        <w:rPr>
          <w:rFonts w:hint="eastAsia" w:ascii="仿宋_GB2312" w:hAnsi="仿宋" w:eastAsia="仿宋_GB2312" w:cs="仿宋_GB2312"/>
          <w:b/>
          <w:bCs/>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firstLine="0"/>
        <w:rPr>
          <w:rFonts w:hint="eastAsia" w:ascii="仿宋_GB2312" w:hAnsi="仿宋" w:eastAsia="仿宋_GB2312" w:cs="仿宋_GB2312"/>
          <w:b/>
          <w:bCs/>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firstLine="0"/>
        <w:rPr>
          <w:rFonts w:hint="eastAsia" w:ascii="仿宋_GB2312" w:hAnsi="仿宋" w:eastAsia="仿宋_GB2312" w:cs="仿宋_GB2312"/>
          <w:sz w:val="32"/>
          <w:szCs w:val="32"/>
          <w:highlight w:val="none"/>
          <w:lang w:val="en-US" w:eastAsia="zh-CN" w:bidi="ar"/>
        </w:rPr>
      </w:pPr>
      <w:r>
        <w:rPr>
          <w:rFonts w:hint="eastAsia" w:ascii="仿宋_GB2312" w:hAnsi="仿宋" w:eastAsia="仿宋_GB2312" w:cs="仿宋_GB2312"/>
          <w:b/>
          <w:bCs/>
          <w:sz w:val="32"/>
          <w:szCs w:val="32"/>
          <w:highlight w:val="none"/>
          <w:lang w:val="en-US" w:eastAsia="zh-CN" w:bidi="ar"/>
        </w:rPr>
        <w:t>附件三：定点零售药店医保信用评价指标</w:t>
      </w:r>
    </w:p>
    <w:tbl>
      <w:tblPr>
        <w:tblStyle w:val="5"/>
        <w:tblW w:w="5524" w:type="pct"/>
        <w:tblInd w:w="-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751"/>
        <w:gridCol w:w="613"/>
        <w:gridCol w:w="775"/>
        <w:gridCol w:w="737"/>
        <w:gridCol w:w="6188"/>
        <w:gridCol w:w="662"/>
        <w:gridCol w:w="3150"/>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25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23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4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指标性质</w:t>
            </w:r>
          </w:p>
        </w:tc>
        <w:tc>
          <w:tcPr>
            <w:tcW w:w="19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评价内容及要求</w:t>
            </w:r>
          </w:p>
        </w:tc>
        <w:tc>
          <w:tcPr>
            <w:tcW w:w="21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评价方法</w:t>
            </w:r>
          </w:p>
        </w:tc>
        <w:tc>
          <w:tcPr>
            <w:tcW w:w="100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63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50" w:type="pct"/>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协议履行</w:t>
            </w:r>
          </w:p>
        </w:tc>
        <w:tc>
          <w:tcPr>
            <w:tcW w:w="239"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基础管理</w:t>
            </w:r>
          </w:p>
        </w:tc>
        <w:tc>
          <w:tcPr>
            <w:tcW w:w="1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机构设置</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97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建立健全医保管理服务部门，配备专（兼）职管理人员。</w:t>
            </w:r>
          </w:p>
        </w:tc>
        <w:tc>
          <w:tcPr>
            <w:tcW w:w="21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100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达不到要求扣10分。</w:t>
            </w:r>
          </w:p>
        </w:tc>
        <w:tc>
          <w:tcPr>
            <w:tcW w:w="63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条例三十九条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0" w:type="pct"/>
            <w:vMerge w:val="continue"/>
            <w:noWrap/>
            <w:vAlign w:val="center"/>
          </w:tcPr>
          <w:p>
            <w:pPr>
              <w:jc w:val="center"/>
              <w:rPr>
                <w:rFonts w:hint="eastAsia" w:ascii="宋体" w:hAnsi="宋体" w:eastAsia="宋体" w:cs="宋体"/>
                <w:i w:val="0"/>
                <w:iCs w:val="0"/>
                <w:color w:val="000000"/>
                <w:sz w:val="22"/>
                <w:szCs w:val="22"/>
                <w:u w:val="none"/>
              </w:rPr>
            </w:pPr>
          </w:p>
        </w:tc>
        <w:tc>
          <w:tcPr>
            <w:tcW w:w="239"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1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规章制度</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97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具有符合医保协议管理要求的医保药品管理制度、财务管理制度、医保人员管理制度、统计信息管理制度和医保费用结算制度。</w:t>
            </w:r>
          </w:p>
        </w:tc>
        <w:tc>
          <w:tcPr>
            <w:tcW w:w="21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100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每缺一项制度扣5分，最多扣20分。</w:t>
            </w:r>
          </w:p>
        </w:tc>
        <w:tc>
          <w:tcPr>
            <w:tcW w:w="63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50" w:type="pct"/>
            <w:vMerge w:val="continue"/>
            <w:noWrap/>
            <w:vAlign w:val="center"/>
          </w:tcPr>
          <w:p>
            <w:pPr>
              <w:jc w:val="center"/>
              <w:rPr>
                <w:rFonts w:hint="eastAsia" w:ascii="宋体" w:hAnsi="宋体" w:eastAsia="宋体" w:cs="宋体"/>
                <w:i w:val="0"/>
                <w:iCs w:val="0"/>
                <w:color w:val="000000"/>
                <w:sz w:val="22"/>
                <w:szCs w:val="22"/>
                <w:u w:val="none"/>
              </w:rPr>
            </w:pPr>
          </w:p>
        </w:tc>
        <w:tc>
          <w:tcPr>
            <w:tcW w:w="239"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1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宣传培训</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975" w:type="pct"/>
            <w:noWrap w:val="0"/>
            <w:vAlign w:val="center"/>
          </w:tcPr>
          <w:p>
            <w:pPr>
              <w:keepNext w:val="0"/>
              <w:keepLines w:val="0"/>
              <w:widowControl/>
              <w:suppressLineNumbers w:val="0"/>
              <w:jc w:val="left"/>
              <w:textAlignment w:val="center"/>
              <w:rPr>
                <w:rStyle w:val="10"/>
                <w:lang w:val="en-US" w:eastAsia="zh-CN" w:bidi="ar"/>
              </w:rPr>
            </w:pPr>
            <w:r>
              <w:rPr>
                <w:rStyle w:val="10"/>
                <w:lang w:val="en-US" w:eastAsia="zh-CN" w:bidi="ar"/>
              </w:rPr>
              <w:t>①采取多种方式开展医疗保险政策宣传，为参保人员提供咨询服务；</w:t>
            </w:r>
          </w:p>
          <w:p>
            <w:pPr>
              <w:keepNext w:val="0"/>
              <w:keepLines w:val="0"/>
              <w:widowControl/>
              <w:suppressLineNumbers w:val="0"/>
              <w:jc w:val="left"/>
              <w:textAlignment w:val="center"/>
              <w:rPr>
                <w:rStyle w:val="10"/>
                <w:lang w:val="en-US" w:eastAsia="zh-CN" w:bidi="ar"/>
              </w:rPr>
            </w:pPr>
            <w:r>
              <w:rPr>
                <w:rStyle w:val="10"/>
                <w:lang w:val="en-US" w:eastAsia="zh-CN" w:bidi="ar"/>
              </w:rPr>
              <w:t>②应当组织医保管理人员参加由医疗保障行政部门或经办机构、</w:t>
            </w:r>
            <w:r>
              <w:rPr>
                <w:rStyle w:val="10"/>
                <w:rFonts w:hint="eastAsia"/>
                <w:lang w:val="en-US" w:eastAsia="zh-CN" w:bidi="ar"/>
              </w:rPr>
              <w:t>稽核机构</w:t>
            </w:r>
            <w:r>
              <w:rPr>
                <w:rStyle w:val="10"/>
                <w:lang w:val="en-US" w:eastAsia="zh-CN" w:bidi="ar"/>
              </w:rPr>
              <w:t>组织的宣传和培训；</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③应当组织开展医疗保障基金相关制度、政策的培训。</w:t>
            </w:r>
          </w:p>
        </w:tc>
        <w:tc>
          <w:tcPr>
            <w:tcW w:w="21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100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每项达不到要求扣5分。</w:t>
            </w:r>
          </w:p>
        </w:tc>
        <w:tc>
          <w:tcPr>
            <w:tcW w:w="63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②③3号令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50" w:type="pct"/>
            <w:vMerge w:val="continue"/>
            <w:noWrap/>
            <w:vAlign w:val="center"/>
          </w:tcPr>
          <w:p>
            <w:pPr>
              <w:jc w:val="center"/>
              <w:rPr>
                <w:rFonts w:hint="eastAsia" w:ascii="宋体" w:hAnsi="宋体" w:eastAsia="宋体" w:cs="宋体"/>
                <w:i w:val="0"/>
                <w:iCs w:val="0"/>
                <w:color w:val="000000"/>
                <w:sz w:val="22"/>
                <w:szCs w:val="22"/>
                <w:u w:val="none"/>
              </w:rPr>
            </w:pPr>
          </w:p>
        </w:tc>
        <w:tc>
          <w:tcPr>
            <w:tcW w:w="239"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1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信息系统</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97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①指定专人负责医保信息系统管理，明确工作职责，合理设置管理权限；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②具备符合医保协议管理要求的信息系统技术和接口标准，实现与医保信息系统有效对接，为参保人员提供直接联网结算，建立医保药品等基础数据库，按规定使用国家统一医保编码；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③应做好与医保有关的信息系统安全保障工作，遵守数据安全有关制度，保护参保人员隐私。定点零售药店重新安装信息系统时，应当保持信息系统技术接口标准与医保信息系统有效对接，并按规定及时全面准确向医保信息系统传送医保结算和审核所需的有关数据；</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④按照规定通过医疗保障信息系统传送医疗保障基金使用有关数据。</w:t>
            </w:r>
          </w:p>
        </w:tc>
        <w:tc>
          <w:tcPr>
            <w:tcW w:w="21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100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每项达不到要求扣10分。</w:t>
            </w:r>
          </w:p>
        </w:tc>
        <w:tc>
          <w:tcPr>
            <w:tcW w:w="63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①②③3号令</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④条例三十九条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50" w:type="pct"/>
            <w:vMerge w:val="continue"/>
            <w:noWrap/>
            <w:vAlign w:val="center"/>
          </w:tcPr>
          <w:p>
            <w:pPr>
              <w:jc w:val="center"/>
              <w:rPr>
                <w:rFonts w:hint="eastAsia" w:ascii="宋体" w:hAnsi="宋体" w:eastAsia="宋体" w:cs="宋体"/>
                <w:i w:val="0"/>
                <w:iCs w:val="0"/>
                <w:color w:val="000000"/>
                <w:sz w:val="22"/>
                <w:szCs w:val="22"/>
                <w:u w:val="none"/>
              </w:rPr>
            </w:pPr>
          </w:p>
        </w:tc>
        <w:tc>
          <w:tcPr>
            <w:tcW w:w="239"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1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收费规定</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97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①提供药品服务时应核对参保人员有效身份凭证，做到人证相符。特殊情况下为他人代购药品的应出示本人和被代购人身份证；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②按照公平、合理、诚实信用和质价相符的原则确定销售价格，遵守药品价格政策；</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③为参保人员提供医保药品费用直接结算单据和相关资料，参保人员或购药人应在购药清单上签字确认；</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④凭外配处方购药的，应核验处方使用人与参保人员身份是否一致。</w:t>
            </w:r>
          </w:p>
        </w:tc>
        <w:tc>
          <w:tcPr>
            <w:tcW w:w="21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100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每项达不到要求扣10分</w:t>
            </w:r>
          </w:p>
        </w:tc>
        <w:tc>
          <w:tcPr>
            <w:tcW w:w="63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0" w:type="pct"/>
            <w:vMerge w:val="continue"/>
            <w:noWrap/>
            <w:vAlign w:val="center"/>
          </w:tcPr>
          <w:p>
            <w:pPr>
              <w:jc w:val="center"/>
              <w:rPr>
                <w:rFonts w:hint="eastAsia" w:ascii="宋体" w:hAnsi="宋体" w:eastAsia="宋体" w:cs="宋体"/>
                <w:i w:val="0"/>
                <w:iCs w:val="0"/>
                <w:color w:val="000000"/>
                <w:sz w:val="22"/>
                <w:szCs w:val="22"/>
                <w:u w:val="none"/>
              </w:rPr>
            </w:pPr>
          </w:p>
        </w:tc>
        <w:tc>
          <w:tcPr>
            <w:tcW w:w="239"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1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报送制度</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97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①按照规定向医疗保障行政部门报告医疗保障基金使用监督管理所需信息；</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②未按照规定向社会公开医药费用、费用结构等信息。</w:t>
            </w:r>
          </w:p>
        </w:tc>
        <w:tc>
          <w:tcPr>
            <w:tcW w:w="21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100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每项达不到要求扣10分。</w:t>
            </w:r>
          </w:p>
        </w:tc>
        <w:tc>
          <w:tcPr>
            <w:tcW w:w="63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条例三十九条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0" w:type="pct"/>
            <w:vMerge w:val="continue"/>
            <w:noWrap/>
            <w:vAlign w:val="center"/>
          </w:tcPr>
          <w:p>
            <w:pPr>
              <w:jc w:val="center"/>
              <w:rPr>
                <w:rFonts w:hint="eastAsia" w:ascii="宋体" w:hAnsi="宋体" w:eastAsia="宋体" w:cs="宋体"/>
                <w:i w:val="0"/>
                <w:iCs w:val="0"/>
                <w:color w:val="000000"/>
                <w:sz w:val="22"/>
                <w:szCs w:val="22"/>
                <w:u w:val="none"/>
              </w:rPr>
            </w:pPr>
          </w:p>
        </w:tc>
        <w:tc>
          <w:tcPr>
            <w:tcW w:w="239"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1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凭证管理</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97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按照规定保管财务账目、会计凭证、处方、费用明细、药品和医用耗材出入库记录等资料。</w:t>
            </w:r>
          </w:p>
        </w:tc>
        <w:tc>
          <w:tcPr>
            <w:tcW w:w="21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100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未按规定保管的，每次扣10分，最多扣30分。</w:t>
            </w:r>
          </w:p>
        </w:tc>
        <w:tc>
          <w:tcPr>
            <w:tcW w:w="63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条例三十九条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50" w:type="pct"/>
            <w:vMerge w:val="continue"/>
            <w:noWrap/>
            <w:vAlign w:val="center"/>
          </w:tcPr>
          <w:p>
            <w:pPr>
              <w:jc w:val="center"/>
              <w:rPr>
                <w:rFonts w:hint="eastAsia" w:ascii="宋体" w:hAnsi="宋体" w:eastAsia="宋体" w:cs="宋体"/>
                <w:i w:val="0"/>
                <w:iCs w:val="0"/>
                <w:color w:val="000000"/>
                <w:sz w:val="22"/>
                <w:szCs w:val="22"/>
                <w:u w:val="none"/>
              </w:rPr>
            </w:pPr>
          </w:p>
        </w:tc>
        <w:tc>
          <w:tcPr>
            <w:tcW w:w="239"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1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处方管理</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97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①应当凭处方销售医保目录内处方药，药师应当对处方进行审核、签字后调剂配发药品；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②应凭定点医疗机构开具的外配处方销售药品、外配处方必须由定点医疗机构医师开具，有医师签章；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③应将参保人员医保目录内药品外配处方、购药清单等保存2年，以备医疗保障部门核查。</w:t>
            </w:r>
          </w:p>
        </w:tc>
        <w:tc>
          <w:tcPr>
            <w:tcW w:w="21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100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每项达不到要求扣10分。</w:t>
            </w:r>
          </w:p>
        </w:tc>
        <w:tc>
          <w:tcPr>
            <w:tcW w:w="63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0" w:type="pct"/>
            <w:vMerge w:val="continue"/>
            <w:noWrap/>
            <w:vAlign w:val="center"/>
          </w:tcPr>
          <w:p>
            <w:pPr>
              <w:jc w:val="center"/>
              <w:rPr>
                <w:rFonts w:hint="eastAsia" w:ascii="宋体" w:hAnsi="宋体" w:eastAsia="宋体" w:cs="宋体"/>
                <w:i w:val="0"/>
                <w:iCs w:val="0"/>
                <w:color w:val="000000"/>
                <w:sz w:val="22"/>
                <w:szCs w:val="22"/>
                <w:u w:val="none"/>
              </w:rPr>
            </w:pPr>
          </w:p>
        </w:tc>
        <w:tc>
          <w:tcPr>
            <w:tcW w:w="239"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1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变更备案</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97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定点零售药店名称、执业地址等发生变化时，及时向医疗保障部门提供相关材料备案，申请变更。</w:t>
            </w:r>
          </w:p>
        </w:tc>
        <w:tc>
          <w:tcPr>
            <w:tcW w:w="21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100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发生变更未按规定办理相关手续的，发现一次扣10分。</w:t>
            </w:r>
          </w:p>
        </w:tc>
        <w:tc>
          <w:tcPr>
            <w:tcW w:w="637" w:type="pct"/>
            <w:noWrap w:val="0"/>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0" w:type="pct"/>
            <w:vMerge w:val="continue"/>
            <w:noWrap/>
            <w:vAlign w:val="center"/>
          </w:tcPr>
          <w:p>
            <w:pPr>
              <w:jc w:val="center"/>
              <w:rPr>
                <w:rFonts w:hint="eastAsia" w:ascii="宋体" w:hAnsi="宋体" w:eastAsia="宋体" w:cs="宋体"/>
                <w:i w:val="0"/>
                <w:iCs w:val="0"/>
                <w:color w:val="000000"/>
                <w:sz w:val="22"/>
                <w:szCs w:val="22"/>
                <w:u w:val="none"/>
              </w:rPr>
            </w:pPr>
          </w:p>
        </w:tc>
        <w:tc>
          <w:tcPr>
            <w:tcW w:w="239"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195"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4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自查自纠</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定性</w:t>
            </w:r>
          </w:p>
        </w:tc>
        <w:tc>
          <w:tcPr>
            <w:tcW w:w="197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定期检查本单位医疗保障基金使用情况，及时纠正医疗保障基金使用不规范的行为。</w:t>
            </w:r>
          </w:p>
        </w:tc>
        <w:tc>
          <w:tcPr>
            <w:tcW w:w="21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年度考核</w:t>
            </w:r>
          </w:p>
        </w:tc>
        <w:tc>
          <w:tcPr>
            <w:tcW w:w="100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达不到要求扣10分。</w:t>
            </w:r>
          </w:p>
        </w:tc>
        <w:tc>
          <w:tcPr>
            <w:tcW w:w="63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协议履行评价规范</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条例十四条</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2号令十九条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0" w:type="pct"/>
            <w:vMerge w:val="continue"/>
            <w:noWrap/>
            <w:vAlign w:val="center"/>
          </w:tcPr>
          <w:p>
            <w:pPr>
              <w:jc w:val="center"/>
              <w:rPr>
                <w:rFonts w:hint="eastAsia" w:ascii="宋体" w:hAnsi="宋体" w:eastAsia="宋体" w:cs="宋体"/>
                <w:i w:val="0"/>
                <w:iCs w:val="0"/>
                <w:color w:val="000000"/>
                <w:sz w:val="22"/>
                <w:szCs w:val="22"/>
                <w:u w:val="none"/>
              </w:rPr>
            </w:pPr>
          </w:p>
        </w:tc>
        <w:tc>
          <w:tcPr>
            <w:tcW w:w="239"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195"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24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工作配合</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97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配合医疗保障部门开展智能监控审核稽核、履约考核、监督检查等。</w:t>
            </w:r>
          </w:p>
        </w:tc>
        <w:tc>
          <w:tcPr>
            <w:tcW w:w="211"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年度考核</w:t>
            </w:r>
          </w:p>
        </w:tc>
        <w:tc>
          <w:tcPr>
            <w:tcW w:w="100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拒绝、阻挠或不配合医疗保障部门开展智能审核、履约考核、监督检查等或者提供虚假情况，扣20分。</w:t>
            </w:r>
          </w:p>
        </w:tc>
        <w:tc>
          <w:tcPr>
            <w:tcW w:w="63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条例三十九条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50" w:type="pct"/>
            <w:vMerge w:val="continue"/>
            <w:noWrap/>
            <w:vAlign w:val="center"/>
          </w:tcPr>
          <w:p>
            <w:pPr>
              <w:jc w:val="center"/>
              <w:rPr>
                <w:rFonts w:hint="eastAsia" w:ascii="宋体" w:hAnsi="宋体" w:eastAsia="宋体" w:cs="宋体"/>
                <w:i w:val="0"/>
                <w:iCs w:val="0"/>
                <w:color w:val="000000"/>
                <w:sz w:val="22"/>
                <w:szCs w:val="22"/>
                <w:u w:val="none"/>
              </w:rPr>
            </w:pPr>
          </w:p>
        </w:tc>
        <w:tc>
          <w:tcPr>
            <w:tcW w:w="239"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服务质量</w:t>
            </w:r>
          </w:p>
        </w:tc>
        <w:tc>
          <w:tcPr>
            <w:tcW w:w="195"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24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数据质量</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97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①确保向医疗保障经办机构传输的参保人员就医、结算及其他相关信息均由信息系统自动生成，真实、准确并实时传输；</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②严格执行信息网络管理有关规定，做好数据备份；</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③传输数据不得人为篡改作假。</w:t>
            </w:r>
          </w:p>
        </w:tc>
        <w:tc>
          <w:tcPr>
            <w:tcW w:w="21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100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①②达不到要求每项扣5分；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③达不到要求扣20分</w:t>
            </w:r>
          </w:p>
        </w:tc>
        <w:tc>
          <w:tcPr>
            <w:tcW w:w="63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0" w:type="pct"/>
            <w:vMerge w:val="continue"/>
            <w:noWrap/>
            <w:vAlign w:val="center"/>
          </w:tcPr>
          <w:p>
            <w:pPr>
              <w:jc w:val="center"/>
              <w:rPr>
                <w:rFonts w:hint="eastAsia" w:ascii="宋体" w:hAnsi="宋体" w:eastAsia="宋体" w:cs="宋体"/>
                <w:i w:val="0"/>
                <w:iCs w:val="0"/>
                <w:color w:val="000000"/>
                <w:sz w:val="22"/>
                <w:szCs w:val="22"/>
                <w:u w:val="none"/>
              </w:rPr>
            </w:pPr>
          </w:p>
        </w:tc>
        <w:tc>
          <w:tcPr>
            <w:tcW w:w="239"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195"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24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应急预案</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97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制定应急预案，因信息系统出现故障并影响参保人员就医结算时，须及时通知医疗保障经办机构并启动应急预案，做好解释工作。</w:t>
            </w:r>
          </w:p>
        </w:tc>
        <w:tc>
          <w:tcPr>
            <w:tcW w:w="21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100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达不到要求扣10分。</w:t>
            </w:r>
          </w:p>
        </w:tc>
        <w:tc>
          <w:tcPr>
            <w:tcW w:w="63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0" w:type="pct"/>
            <w:vMerge w:val="continue"/>
            <w:noWrap/>
            <w:vAlign w:val="center"/>
          </w:tcPr>
          <w:p>
            <w:pPr>
              <w:jc w:val="center"/>
              <w:rPr>
                <w:rFonts w:hint="eastAsia" w:ascii="宋体" w:hAnsi="宋体" w:eastAsia="宋体" w:cs="宋体"/>
                <w:i w:val="0"/>
                <w:iCs w:val="0"/>
                <w:color w:val="000000"/>
                <w:sz w:val="22"/>
                <w:szCs w:val="22"/>
                <w:u w:val="none"/>
              </w:rPr>
            </w:pPr>
          </w:p>
        </w:tc>
        <w:tc>
          <w:tcPr>
            <w:tcW w:w="239"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195"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24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满意度评价</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197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参保患者满意度=评价满意的被调查参保患者人数/接受调查的参保患者总数×100% 。</w:t>
            </w:r>
          </w:p>
        </w:tc>
        <w:tc>
          <w:tcPr>
            <w:tcW w:w="21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日常抽查</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问卷调查</w:t>
            </w:r>
          </w:p>
        </w:tc>
        <w:tc>
          <w:tcPr>
            <w:tcW w:w="100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扣除分值=（1-满意度）×40（分）。</w:t>
            </w:r>
          </w:p>
        </w:tc>
        <w:tc>
          <w:tcPr>
            <w:tcW w:w="63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协议履行评价规范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50" w:type="pct"/>
            <w:vMerge w:val="continue"/>
            <w:noWrap/>
            <w:vAlign w:val="center"/>
          </w:tcPr>
          <w:p>
            <w:pPr>
              <w:jc w:val="center"/>
              <w:rPr>
                <w:rFonts w:hint="eastAsia" w:ascii="宋体" w:hAnsi="宋体" w:eastAsia="宋体" w:cs="宋体"/>
                <w:i w:val="0"/>
                <w:iCs w:val="0"/>
                <w:color w:val="000000"/>
                <w:sz w:val="22"/>
                <w:szCs w:val="22"/>
                <w:u w:val="none"/>
              </w:rPr>
            </w:pPr>
          </w:p>
        </w:tc>
        <w:tc>
          <w:tcPr>
            <w:tcW w:w="239"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195"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24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媒体报道</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w:t>
            </w:r>
          </w:p>
        </w:tc>
        <w:tc>
          <w:tcPr>
            <w:tcW w:w="197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按本机构被主流媒体报道，经医疗保障部门认可的，按照报道数量赋分。</w:t>
            </w:r>
          </w:p>
        </w:tc>
        <w:tc>
          <w:tcPr>
            <w:tcW w:w="21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日常抽查</w:t>
            </w:r>
          </w:p>
        </w:tc>
        <w:tc>
          <w:tcPr>
            <w:tcW w:w="100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根据期内被媒体报道关于医疗保障工作情况的，正面情况每例加10分，最多加20分；负面情况每例扣10分，最多扣20分；多家媒体报道同一事件不重复计分。</w:t>
            </w:r>
          </w:p>
        </w:tc>
        <w:tc>
          <w:tcPr>
            <w:tcW w:w="63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50" w:type="pct"/>
            <w:vMerge w:val="continue"/>
            <w:noWrap/>
            <w:vAlign w:val="center"/>
          </w:tcPr>
          <w:p>
            <w:pPr>
              <w:jc w:val="center"/>
              <w:rPr>
                <w:rFonts w:hint="eastAsia" w:ascii="宋体" w:hAnsi="宋体" w:eastAsia="宋体" w:cs="宋体"/>
                <w:i w:val="0"/>
                <w:iCs w:val="0"/>
                <w:color w:val="000000"/>
                <w:sz w:val="22"/>
                <w:szCs w:val="22"/>
                <w:u w:val="none"/>
              </w:rPr>
            </w:pPr>
          </w:p>
        </w:tc>
        <w:tc>
          <w:tcPr>
            <w:tcW w:w="239"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195"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24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其他行为</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97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严格执行医保服务协议的各项条款。</w:t>
            </w:r>
          </w:p>
        </w:tc>
        <w:tc>
          <w:tcPr>
            <w:tcW w:w="21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1005" w:type="pct"/>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视情况扣除。</w:t>
            </w:r>
          </w:p>
        </w:tc>
        <w:tc>
          <w:tcPr>
            <w:tcW w:w="63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50" w:type="pct"/>
            <w:vMerge w:val="restart"/>
            <w:noWrap/>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协议履行</w:t>
            </w:r>
          </w:p>
        </w:tc>
        <w:tc>
          <w:tcPr>
            <w:tcW w:w="239" w:type="pct"/>
            <w:vMerge w:val="restart"/>
            <w:noWrap w:val="0"/>
            <w:vAlign w:val="center"/>
          </w:tcPr>
          <w:p>
            <w:pPr>
              <w:tabs>
                <w:tab w:val="left" w:pos="389"/>
              </w:tabs>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ab/>
            </w:r>
            <w:r>
              <w:rPr>
                <w:rFonts w:hint="eastAsia" w:ascii="宋体" w:hAnsi="宋体" w:eastAsia="宋体" w:cs="宋体"/>
                <w:i w:val="0"/>
                <w:iCs w:val="0"/>
                <w:color w:val="000000"/>
                <w:sz w:val="22"/>
                <w:szCs w:val="22"/>
                <w:u w:val="none"/>
                <w:lang w:eastAsia="zh-CN"/>
              </w:rPr>
              <w:t>协议处理</w:t>
            </w:r>
          </w:p>
        </w:tc>
        <w:tc>
          <w:tcPr>
            <w:tcW w:w="195"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247"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约谈</w:t>
            </w:r>
          </w:p>
        </w:tc>
        <w:tc>
          <w:tcPr>
            <w:tcW w:w="23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定量</w:t>
            </w:r>
          </w:p>
        </w:tc>
        <w:tc>
          <w:tcPr>
            <w:tcW w:w="197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被医疗保障经办机构约谈的。</w:t>
            </w:r>
          </w:p>
        </w:tc>
        <w:tc>
          <w:tcPr>
            <w:tcW w:w="211"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tc>
        <w:tc>
          <w:tcPr>
            <w:tcW w:w="1005" w:type="pct"/>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按次数扣分，每次扣50分。</w:t>
            </w:r>
          </w:p>
        </w:tc>
        <w:tc>
          <w:tcPr>
            <w:tcW w:w="63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3号令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50" w:type="pct"/>
            <w:vMerge w:val="continue"/>
            <w:noWrap/>
            <w:vAlign w:val="center"/>
          </w:tcPr>
          <w:p>
            <w:pPr>
              <w:jc w:val="center"/>
              <w:rPr>
                <w:rFonts w:hint="eastAsia" w:ascii="宋体" w:hAnsi="宋体" w:eastAsia="宋体" w:cs="宋体"/>
                <w:i w:val="0"/>
                <w:iCs w:val="0"/>
                <w:color w:val="000000"/>
                <w:sz w:val="22"/>
                <w:szCs w:val="22"/>
                <w:u w:val="none"/>
              </w:rPr>
            </w:pPr>
          </w:p>
        </w:tc>
        <w:tc>
          <w:tcPr>
            <w:tcW w:w="239"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195"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247"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通报</w:t>
            </w:r>
          </w:p>
        </w:tc>
        <w:tc>
          <w:tcPr>
            <w:tcW w:w="23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定量</w:t>
            </w:r>
          </w:p>
        </w:tc>
        <w:tc>
          <w:tcPr>
            <w:tcW w:w="197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被医疗保障部门通报的。</w:t>
            </w:r>
          </w:p>
        </w:tc>
        <w:tc>
          <w:tcPr>
            <w:tcW w:w="211"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tc>
        <w:tc>
          <w:tcPr>
            <w:tcW w:w="1005" w:type="pct"/>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按次数扣分，每次扣100分。</w:t>
            </w:r>
          </w:p>
        </w:tc>
        <w:tc>
          <w:tcPr>
            <w:tcW w:w="637" w:type="pct"/>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50" w:type="pct"/>
            <w:vMerge w:val="continue"/>
            <w:noWrap/>
            <w:vAlign w:val="center"/>
          </w:tcPr>
          <w:p>
            <w:pPr>
              <w:jc w:val="center"/>
              <w:rPr>
                <w:rFonts w:hint="eastAsia" w:ascii="宋体" w:hAnsi="宋体" w:eastAsia="宋体" w:cs="宋体"/>
                <w:i w:val="0"/>
                <w:iCs w:val="0"/>
                <w:color w:val="000000"/>
                <w:sz w:val="22"/>
                <w:szCs w:val="22"/>
                <w:u w:val="none"/>
              </w:rPr>
            </w:pPr>
          </w:p>
        </w:tc>
        <w:tc>
          <w:tcPr>
            <w:tcW w:w="239"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195"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47"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追回费用</w:t>
            </w:r>
          </w:p>
        </w:tc>
        <w:tc>
          <w:tcPr>
            <w:tcW w:w="23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定量</w:t>
            </w:r>
          </w:p>
        </w:tc>
        <w:tc>
          <w:tcPr>
            <w:tcW w:w="197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被医疗保障经办机构追回费用。</w:t>
            </w:r>
          </w:p>
        </w:tc>
        <w:tc>
          <w:tcPr>
            <w:tcW w:w="211"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tc>
        <w:tc>
          <w:tcPr>
            <w:tcW w:w="1005" w:type="pct"/>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按金额扣分，计算公式为：追回费用金额/本药店医保基金支付总额×500分。</w:t>
            </w:r>
          </w:p>
        </w:tc>
        <w:tc>
          <w:tcPr>
            <w:tcW w:w="63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3号令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50" w:type="pct"/>
            <w:vMerge w:val="continue"/>
            <w:noWrap/>
            <w:vAlign w:val="center"/>
          </w:tcPr>
          <w:p>
            <w:pPr>
              <w:jc w:val="center"/>
              <w:rPr>
                <w:rFonts w:hint="eastAsia" w:ascii="宋体" w:hAnsi="宋体" w:eastAsia="宋体" w:cs="宋体"/>
                <w:i w:val="0"/>
                <w:iCs w:val="0"/>
                <w:color w:val="000000"/>
                <w:sz w:val="22"/>
                <w:szCs w:val="22"/>
                <w:u w:val="none"/>
              </w:rPr>
            </w:pPr>
          </w:p>
        </w:tc>
        <w:tc>
          <w:tcPr>
            <w:tcW w:w="239"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195"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47"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拒付费用</w:t>
            </w:r>
          </w:p>
        </w:tc>
        <w:tc>
          <w:tcPr>
            <w:tcW w:w="23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定量</w:t>
            </w:r>
          </w:p>
        </w:tc>
        <w:tc>
          <w:tcPr>
            <w:tcW w:w="197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被医疗保障经办机构拒付费用。</w:t>
            </w:r>
          </w:p>
        </w:tc>
        <w:tc>
          <w:tcPr>
            <w:tcW w:w="211"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tc>
        <w:tc>
          <w:tcPr>
            <w:tcW w:w="1005" w:type="pct"/>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按金额扣分，计算公式为：拒付费用金额/本药店基金支付总额×500分。</w:t>
            </w:r>
          </w:p>
        </w:tc>
        <w:tc>
          <w:tcPr>
            <w:tcW w:w="637" w:type="pct"/>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操作手册</w:t>
            </w:r>
          </w:p>
          <w:p>
            <w:pPr>
              <w:pStyle w:val="2"/>
              <w:jc w:val="center"/>
              <w:rPr>
                <w:rFonts w:hint="default"/>
                <w:lang w:val="en-US"/>
              </w:rPr>
            </w:pPr>
            <w:r>
              <w:rPr>
                <w:rFonts w:hint="eastAsia" w:ascii="宋体" w:hAnsi="宋体" w:cs="宋体"/>
                <w:i w:val="0"/>
                <w:iCs w:val="0"/>
                <w:color w:val="000000"/>
                <w:kern w:val="0"/>
                <w:sz w:val="22"/>
                <w:szCs w:val="22"/>
                <w:u w:val="none"/>
                <w:lang w:val="en-US" w:eastAsia="zh-CN" w:bidi="ar"/>
              </w:rPr>
              <w:t>3号令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50" w:type="pct"/>
            <w:vMerge w:val="continue"/>
            <w:noWrap/>
            <w:vAlign w:val="center"/>
          </w:tcPr>
          <w:p>
            <w:pPr>
              <w:jc w:val="center"/>
              <w:rPr>
                <w:rFonts w:hint="eastAsia" w:ascii="宋体" w:hAnsi="宋体" w:eastAsia="宋体" w:cs="宋体"/>
                <w:i w:val="0"/>
                <w:iCs w:val="0"/>
                <w:color w:val="000000"/>
                <w:sz w:val="22"/>
                <w:szCs w:val="22"/>
                <w:u w:val="none"/>
              </w:rPr>
            </w:pPr>
          </w:p>
        </w:tc>
        <w:tc>
          <w:tcPr>
            <w:tcW w:w="239"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195"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247"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暂停结算</w:t>
            </w:r>
          </w:p>
        </w:tc>
        <w:tc>
          <w:tcPr>
            <w:tcW w:w="23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定量</w:t>
            </w:r>
          </w:p>
        </w:tc>
        <w:tc>
          <w:tcPr>
            <w:tcW w:w="197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被医保经办机构暂停结算的。</w:t>
            </w:r>
          </w:p>
        </w:tc>
        <w:tc>
          <w:tcPr>
            <w:tcW w:w="211"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tc>
        <w:tc>
          <w:tcPr>
            <w:tcW w:w="1005" w:type="pct"/>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按数量扣分，每次扣10分，最多扣50分。</w:t>
            </w:r>
          </w:p>
        </w:tc>
        <w:tc>
          <w:tcPr>
            <w:tcW w:w="63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50" w:type="pct"/>
            <w:vMerge w:val="continue"/>
            <w:noWrap/>
            <w:vAlign w:val="center"/>
          </w:tcPr>
          <w:p>
            <w:pPr>
              <w:jc w:val="center"/>
              <w:rPr>
                <w:rFonts w:hint="eastAsia" w:ascii="宋体" w:hAnsi="宋体" w:eastAsia="宋体" w:cs="宋体"/>
                <w:i w:val="0"/>
                <w:iCs w:val="0"/>
                <w:color w:val="000000"/>
                <w:sz w:val="22"/>
                <w:szCs w:val="22"/>
                <w:u w:val="none"/>
              </w:rPr>
            </w:pPr>
          </w:p>
        </w:tc>
        <w:tc>
          <w:tcPr>
            <w:tcW w:w="239"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195"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247"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中止协议</w:t>
            </w:r>
          </w:p>
        </w:tc>
        <w:tc>
          <w:tcPr>
            <w:tcW w:w="23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定量</w:t>
            </w:r>
          </w:p>
        </w:tc>
        <w:tc>
          <w:tcPr>
            <w:tcW w:w="197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被医疗保障部门中止协议的。</w:t>
            </w:r>
          </w:p>
        </w:tc>
        <w:tc>
          <w:tcPr>
            <w:tcW w:w="211"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tc>
        <w:tc>
          <w:tcPr>
            <w:tcW w:w="1005" w:type="pct"/>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按累计月份扣分，不满3个月的扣10分，满3个月不满6个月的扣20分，6个月以上的扣50分。</w:t>
            </w:r>
          </w:p>
        </w:tc>
        <w:tc>
          <w:tcPr>
            <w:tcW w:w="637" w:type="pct"/>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操作手册</w:t>
            </w:r>
          </w:p>
          <w:p>
            <w:pPr>
              <w:pStyle w:val="2"/>
              <w:jc w:val="center"/>
              <w:rPr>
                <w:rFonts w:hint="default"/>
                <w:lang w:val="en-US"/>
              </w:rPr>
            </w:pPr>
            <w:r>
              <w:rPr>
                <w:rFonts w:hint="eastAsia" w:ascii="宋体" w:hAnsi="宋体" w:cs="宋体"/>
                <w:i w:val="0"/>
                <w:iCs w:val="0"/>
                <w:color w:val="000000"/>
                <w:kern w:val="0"/>
                <w:sz w:val="22"/>
                <w:szCs w:val="22"/>
                <w:u w:val="none"/>
                <w:lang w:val="en-US" w:eastAsia="zh-CN" w:bidi="ar"/>
              </w:rPr>
              <w:t>3号令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50"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基金监管</w:t>
            </w:r>
          </w:p>
        </w:tc>
        <w:tc>
          <w:tcPr>
            <w:tcW w:w="239"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一般处理</w:t>
            </w:r>
          </w:p>
        </w:tc>
        <w:tc>
          <w:tcPr>
            <w:tcW w:w="195"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w:t>
            </w:r>
          </w:p>
        </w:tc>
        <w:tc>
          <w:tcPr>
            <w:tcW w:w="24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约谈</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w:t>
            </w:r>
          </w:p>
        </w:tc>
        <w:tc>
          <w:tcPr>
            <w:tcW w:w="197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被医疗保障部门约谈的。</w:t>
            </w:r>
          </w:p>
        </w:tc>
        <w:tc>
          <w:tcPr>
            <w:tcW w:w="21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日常抽查</w:t>
            </w:r>
          </w:p>
        </w:tc>
        <w:tc>
          <w:tcPr>
            <w:tcW w:w="100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按次数扣分，每次扣50分。</w:t>
            </w:r>
          </w:p>
        </w:tc>
        <w:tc>
          <w:tcPr>
            <w:tcW w:w="637" w:type="pct"/>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操作手册</w:t>
            </w:r>
          </w:p>
          <w:p>
            <w:pPr>
              <w:pStyle w:val="2"/>
              <w:ind w:firstLine="0" w:firstLineChars="0"/>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条例三十八、三十九、四十条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50"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239"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195" w:type="pct"/>
            <w:vMerge w:val="restar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w:t>
            </w:r>
          </w:p>
        </w:tc>
        <w:tc>
          <w:tcPr>
            <w:tcW w:w="247"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c>
          <w:tcPr>
            <w:tcW w:w="235"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w:t>
            </w:r>
          </w:p>
        </w:tc>
        <w:tc>
          <w:tcPr>
            <w:tcW w:w="1975" w:type="pct"/>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被医疗保障部门责令整改的。</w:t>
            </w:r>
          </w:p>
        </w:tc>
        <w:tc>
          <w:tcPr>
            <w:tcW w:w="211"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日常抽查</w:t>
            </w:r>
          </w:p>
        </w:tc>
        <w:tc>
          <w:tcPr>
            <w:tcW w:w="1005" w:type="pct"/>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按次数扣分，每次扣50分。</w:t>
            </w:r>
          </w:p>
        </w:tc>
        <w:tc>
          <w:tcPr>
            <w:tcW w:w="63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操作手册</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条例三十八、三十九条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50"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23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行政处罚</w:t>
            </w:r>
          </w:p>
        </w:tc>
        <w:tc>
          <w:tcPr>
            <w:tcW w:w="195"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w:t>
            </w:r>
          </w:p>
        </w:tc>
        <w:tc>
          <w:tcPr>
            <w:tcW w:w="24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w:t>
            </w:r>
          </w:p>
        </w:tc>
        <w:tc>
          <w:tcPr>
            <w:tcW w:w="197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被医疗保障行政部门罚款。</w:t>
            </w:r>
          </w:p>
        </w:tc>
        <w:tc>
          <w:tcPr>
            <w:tcW w:w="21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日常抽查</w:t>
            </w:r>
          </w:p>
        </w:tc>
        <w:tc>
          <w:tcPr>
            <w:tcW w:w="100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按金额扣分，计算公式为：罚款费用金额/本药店医保基金支付总额×500分。</w:t>
            </w:r>
          </w:p>
        </w:tc>
        <w:tc>
          <w:tcPr>
            <w:tcW w:w="637" w:type="pct"/>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操作手册</w:t>
            </w:r>
          </w:p>
          <w:p>
            <w:pPr>
              <w:pStyle w:val="2"/>
              <w:ind w:firstLine="0" w:firstLineChars="0"/>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条例三十八、三十九、四十条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0"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23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其他行为</w:t>
            </w:r>
          </w:p>
        </w:tc>
        <w:tc>
          <w:tcPr>
            <w:tcW w:w="195"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w:t>
            </w:r>
          </w:p>
        </w:tc>
        <w:tc>
          <w:tcPr>
            <w:tcW w:w="24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其他行为</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97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其他骗取医疗保障基金支出的行为。</w:t>
            </w:r>
          </w:p>
        </w:tc>
        <w:tc>
          <w:tcPr>
            <w:tcW w:w="21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w:t>
            </w:r>
          </w:p>
        </w:tc>
        <w:tc>
          <w:tcPr>
            <w:tcW w:w="1005" w:type="pct"/>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视情况扣除。</w:t>
            </w:r>
          </w:p>
        </w:tc>
        <w:tc>
          <w:tcPr>
            <w:tcW w:w="63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条例四十条</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0" w:type="pct"/>
            <w:noWrap w:val="0"/>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社会信用</w:t>
            </w:r>
          </w:p>
        </w:tc>
        <w:tc>
          <w:tcPr>
            <w:tcW w:w="23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行政处理</w:t>
            </w:r>
          </w:p>
        </w:tc>
        <w:tc>
          <w:tcPr>
            <w:tcW w:w="195"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24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行政处罚</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定量</w:t>
            </w:r>
          </w:p>
        </w:tc>
        <w:tc>
          <w:tcPr>
            <w:tcW w:w="197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被政府有关行政部门给予行政处罚情况。</w:t>
            </w:r>
          </w:p>
        </w:tc>
        <w:tc>
          <w:tcPr>
            <w:tcW w:w="21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日常抽查</w:t>
            </w:r>
          </w:p>
        </w:tc>
        <w:tc>
          <w:tcPr>
            <w:tcW w:w="1005" w:type="pct"/>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按次数扣分，每次扣15分，最多扣180分。</w:t>
            </w:r>
          </w:p>
        </w:tc>
        <w:tc>
          <w:tcPr>
            <w:tcW w:w="637" w:type="pct"/>
            <w:noWrap w:val="0"/>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0"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奖励情况</w:t>
            </w:r>
          </w:p>
        </w:tc>
        <w:tc>
          <w:tcPr>
            <w:tcW w:w="239"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表彰奖励</w:t>
            </w:r>
          </w:p>
        </w:tc>
        <w:tc>
          <w:tcPr>
            <w:tcW w:w="195"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28</w:t>
            </w:r>
          </w:p>
        </w:tc>
        <w:tc>
          <w:tcPr>
            <w:tcW w:w="24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政府表彰</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w:t>
            </w:r>
          </w:p>
        </w:tc>
        <w:tc>
          <w:tcPr>
            <w:tcW w:w="197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受到党委、人民政府表彰奖励的。</w:t>
            </w:r>
          </w:p>
        </w:tc>
        <w:tc>
          <w:tcPr>
            <w:tcW w:w="211"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主动上报</w:t>
            </w:r>
          </w:p>
        </w:tc>
        <w:tc>
          <w:tcPr>
            <w:tcW w:w="100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县级每次计加5分，市级每次计加10分，省级每次计加20分，国家级每次计加50分。</w:t>
            </w:r>
          </w:p>
        </w:tc>
        <w:tc>
          <w:tcPr>
            <w:tcW w:w="637" w:type="pct"/>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鲁发改信用〔2020〕808号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0"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239"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195"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w:t>
            </w:r>
          </w:p>
        </w:tc>
        <w:tc>
          <w:tcPr>
            <w:tcW w:w="24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医保表彰</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w:t>
            </w:r>
          </w:p>
        </w:tc>
        <w:tc>
          <w:tcPr>
            <w:tcW w:w="197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受到医疗保障行政部门通报表扬。</w:t>
            </w:r>
          </w:p>
        </w:tc>
        <w:tc>
          <w:tcPr>
            <w:tcW w:w="211"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主动上报</w:t>
            </w:r>
          </w:p>
        </w:tc>
        <w:tc>
          <w:tcPr>
            <w:tcW w:w="100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市级每次计加5分，省级每次计加10分，国家级每次计加20分。</w:t>
            </w:r>
          </w:p>
        </w:tc>
        <w:tc>
          <w:tcPr>
            <w:tcW w:w="637" w:type="pct"/>
            <w:vMerge w:val="continue"/>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0"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239"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工作配合</w:t>
            </w:r>
          </w:p>
        </w:tc>
        <w:tc>
          <w:tcPr>
            <w:tcW w:w="195"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w:t>
            </w:r>
          </w:p>
        </w:tc>
        <w:tc>
          <w:tcPr>
            <w:tcW w:w="24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参与试点改革</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w:t>
            </w:r>
          </w:p>
        </w:tc>
        <w:tc>
          <w:tcPr>
            <w:tcW w:w="197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积极参与市级医保试点改革等工作的，受到医疗保障部门认可，并出具相关证明材料。</w:t>
            </w:r>
          </w:p>
        </w:tc>
        <w:tc>
          <w:tcPr>
            <w:tcW w:w="211"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主动上报</w:t>
            </w:r>
          </w:p>
        </w:tc>
        <w:tc>
          <w:tcPr>
            <w:tcW w:w="100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市级每次计加10分，省级每次计加20分，国家级每次计加50分。</w:t>
            </w:r>
          </w:p>
        </w:tc>
        <w:tc>
          <w:tcPr>
            <w:tcW w:w="63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鲁发改信用〔2020〕808号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0"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239"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195"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w:t>
            </w:r>
          </w:p>
        </w:tc>
        <w:tc>
          <w:tcPr>
            <w:tcW w:w="24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自查自纠</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w:t>
            </w:r>
          </w:p>
        </w:tc>
        <w:tc>
          <w:tcPr>
            <w:tcW w:w="1975" w:type="pct"/>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按照主动回退金额予以奖励。</w:t>
            </w:r>
          </w:p>
        </w:tc>
        <w:tc>
          <w:tcPr>
            <w:tcW w:w="211"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主动上报</w:t>
            </w:r>
          </w:p>
        </w:tc>
        <w:tc>
          <w:tcPr>
            <w:tcW w:w="100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按金额加分，计算公式为：主动回退金额/本统筹区所有定点零售药店自查自纠主动退回金额×50分。</w:t>
            </w:r>
          </w:p>
        </w:tc>
        <w:tc>
          <w:tcPr>
            <w:tcW w:w="637" w:type="pct"/>
            <w:noWrap w:val="0"/>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50"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23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公益活动</w:t>
            </w:r>
          </w:p>
        </w:tc>
        <w:tc>
          <w:tcPr>
            <w:tcW w:w="195"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w:t>
            </w:r>
          </w:p>
        </w:tc>
        <w:tc>
          <w:tcPr>
            <w:tcW w:w="24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公益活动</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w:t>
            </w:r>
          </w:p>
        </w:tc>
        <w:tc>
          <w:tcPr>
            <w:tcW w:w="197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主动参加医疗保障部门组织的公益活动，受到医疗保障部门认可。</w:t>
            </w:r>
          </w:p>
        </w:tc>
        <w:tc>
          <w:tcPr>
            <w:tcW w:w="211"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主动上报</w:t>
            </w:r>
          </w:p>
        </w:tc>
        <w:tc>
          <w:tcPr>
            <w:tcW w:w="100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每次计加5分。</w:t>
            </w:r>
          </w:p>
        </w:tc>
        <w:tc>
          <w:tcPr>
            <w:tcW w:w="63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鲁发改信用〔2020〕808号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0" w:type="pct"/>
            <w:vMerge w:val="continue"/>
            <w:noWrap w:val="0"/>
            <w:vAlign w:val="center"/>
          </w:tcPr>
          <w:p>
            <w:pPr>
              <w:jc w:val="center"/>
              <w:rPr>
                <w:rFonts w:hint="eastAsia" w:ascii="宋体" w:hAnsi="宋体" w:eastAsia="宋体" w:cs="宋体"/>
                <w:i w:val="0"/>
                <w:iCs w:val="0"/>
                <w:color w:val="000000"/>
                <w:sz w:val="22"/>
                <w:szCs w:val="22"/>
                <w:u w:val="none"/>
              </w:rPr>
            </w:pPr>
          </w:p>
        </w:tc>
        <w:tc>
          <w:tcPr>
            <w:tcW w:w="23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其他奖励情况</w:t>
            </w:r>
          </w:p>
        </w:tc>
        <w:tc>
          <w:tcPr>
            <w:tcW w:w="195"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w:t>
            </w:r>
          </w:p>
        </w:tc>
        <w:tc>
          <w:tcPr>
            <w:tcW w:w="24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其他奖励情况</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97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医疗保障部门认定的其他奖励性措施。</w:t>
            </w:r>
          </w:p>
        </w:tc>
        <w:tc>
          <w:tcPr>
            <w:tcW w:w="211"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主动上报</w:t>
            </w:r>
          </w:p>
        </w:tc>
        <w:tc>
          <w:tcPr>
            <w:tcW w:w="1005" w:type="pct"/>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视情况计加。</w:t>
            </w:r>
          </w:p>
        </w:tc>
        <w:tc>
          <w:tcPr>
            <w:tcW w:w="63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鲁发改信用〔2020〕808号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0" w:type="pct"/>
            <w:vMerge w:val="restart"/>
            <w:noWrap w:val="0"/>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一票否决</w:t>
            </w:r>
          </w:p>
        </w:tc>
        <w:tc>
          <w:tcPr>
            <w:tcW w:w="23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失信被执行人</w:t>
            </w:r>
          </w:p>
        </w:tc>
        <w:tc>
          <w:tcPr>
            <w:tcW w:w="195"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34</w:t>
            </w:r>
          </w:p>
        </w:tc>
        <w:tc>
          <w:tcPr>
            <w:tcW w:w="24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失信被执行人</w:t>
            </w:r>
          </w:p>
        </w:tc>
        <w:tc>
          <w:tcPr>
            <w:tcW w:w="2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定性</w:t>
            </w:r>
          </w:p>
        </w:tc>
        <w:tc>
          <w:tcPr>
            <w:tcW w:w="197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定点零售药店或其法人被纳入公共信用系统失信“黑名单”的情况。</w:t>
            </w:r>
          </w:p>
        </w:tc>
        <w:tc>
          <w:tcPr>
            <w:tcW w:w="211"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日常抽查</w:t>
            </w:r>
          </w:p>
        </w:tc>
        <w:tc>
          <w:tcPr>
            <w:tcW w:w="1005" w:type="pct"/>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一票否决，扣360分。</w:t>
            </w:r>
          </w:p>
        </w:tc>
        <w:tc>
          <w:tcPr>
            <w:tcW w:w="637" w:type="pct"/>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0" w:type="pct"/>
            <w:vMerge w:val="continue"/>
            <w:noWrap w:val="0"/>
            <w:vAlign w:val="top"/>
          </w:tcPr>
          <w:p>
            <w:pPr>
              <w:jc w:val="center"/>
              <w:rPr>
                <w:rFonts w:hint="eastAsia" w:ascii="宋体" w:hAnsi="宋体" w:eastAsia="宋体" w:cs="宋体"/>
                <w:i w:val="0"/>
                <w:iCs w:val="0"/>
                <w:color w:val="000000"/>
                <w:sz w:val="22"/>
                <w:szCs w:val="22"/>
                <w:u w:val="none"/>
              </w:rPr>
            </w:pPr>
          </w:p>
        </w:tc>
        <w:tc>
          <w:tcPr>
            <w:tcW w:w="23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司法处理</w:t>
            </w:r>
          </w:p>
        </w:tc>
        <w:tc>
          <w:tcPr>
            <w:tcW w:w="0" w:type="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欺诈骗保</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定性</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定点零售药店及其工作人员因欺诈、伪造证明材料或其他手段骗取医疗保障基金或者医疗保障待遇被司法机关追究刑事责任的。</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日常抽查</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一票否决，扣360分。</w:t>
            </w:r>
          </w:p>
        </w:tc>
        <w:tc>
          <w:tcPr>
            <w:tcW w:w="0" w:type="auto"/>
            <w:noWrap w:val="0"/>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0" w:type="pct"/>
            <w:vMerge w:val="continue"/>
            <w:noWrap w:val="0"/>
            <w:vAlign w:val="top"/>
          </w:tcPr>
          <w:p>
            <w:pPr>
              <w:jc w:val="center"/>
              <w:rPr>
                <w:rFonts w:hint="eastAsia" w:ascii="宋体" w:hAnsi="宋体" w:eastAsia="宋体" w:cs="宋体"/>
                <w:i w:val="0"/>
                <w:iCs w:val="0"/>
                <w:color w:val="000000"/>
                <w:sz w:val="22"/>
                <w:szCs w:val="22"/>
                <w:u w:val="none"/>
              </w:rPr>
            </w:pPr>
          </w:p>
        </w:tc>
        <w:tc>
          <w:tcPr>
            <w:tcW w:w="239" w:type="pct"/>
            <w:vMerge w:val="restart"/>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协议处理</w:t>
            </w:r>
          </w:p>
        </w:tc>
        <w:tc>
          <w:tcPr>
            <w:tcW w:w="0" w:type="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36</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解除协议</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定性</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被医疗保障部门解除协议的。</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日常抽查</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一票否决，扣360分。</w:t>
            </w:r>
          </w:p>
        </w:tc>
        <w:tc>
          <w:tcPr>
            <w:tcW w:w="0" w:type="auto"/>
            <w:noWrap w:val="0"/>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0" w:type="pct"/>
            <w:vMerge w:val="continue"/>
            <w:noWrap w:val="0"/>
            <w:vAlign w:val="top"/>
          </w:tcPr>
          <w:p>
            <w:pPr>
              <w:jc w:val="center"/>
              <w:rPr>
                <w:rFonts w:hint="eastAsia" w:ascii="宋体" w:hAnsi="宋体" w:eastAsia="宋体" w:cs="宋体"/>
                <w:i w:val="0"/>
                <w:iCs w:val="0"/>
                <w:color w:val="000000"/>
                <w:sz w:val="22"/>
                <w:szCs w:val="22"/>
                <w:u w:val="none"/>
              </w:rPr>
            </w:pPr>
          </w:p>
        </w:tc>
        <w:tc>
          <w:tcPr>
            <w:tcW w:w="239" w:type="pct"/>
            <w:vMerge w:val="continue"/>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37</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变更备案</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定性</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机构名称、执业地址等发生变化时，及时向医疗保障部门提供相关材料备案，被发现重大信息发生变更,但未在规定时间内办理重大信息变更的。</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年度考核</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一票否决，扣360分。</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3号令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0" w:type="pct"/>
            <w:vMerge w:val="continue"/>
            <w:noWrap w:val="0"/>
            <w:vAlign w:val="top"/>
          </w:tcPr>
          <w:p>
            <w:pPr>
              <w:jc w:val="center"/>
              <w:rPr>
                <w:rFonts w:hint="eastAsia" w:ascii="宋体" w:hAnsi="宋体" w:eastAsia="宋体" w:cs="宋体"/>
                <w:i w:val="0"/>
                <w:iCs w:val="0"/>
                <w:color w:val="000000"/>
                <w:sz w:val="22"/>
                <w:szCs w:val="22"/>
                <w:u w:val="none"/>
              </w:rPr>
            </w:pPr>
          </w:p>
        </w:tc>
        <w:tc>
          <w:tcPr>
            <w:tcW w:w="0" w:type="auto"/>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行为规范</w:t>
            </w:r>
          </w:p>
        </w:tc>
        <w:tc>
          <w:tcPr>
            <w:tcW w:w="0" w:type="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38</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工作配合</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定性</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不配合医疗保障部门开展智能监控审核稽核、履约考核、监督检查等，情节恶劣的。</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日常抽查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年度考核</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一票否决，扣360分。</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条例三十九条</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3号令</w:t>
            </w:r>
          </w:p>
        </w:tc>
      </w:tr>
    </w:tbl>
    <w:p>
      <w:pPr>
        <w:rPr>
          <w:rFonts w:hint="eastAsia" w:ascii="仿宋_GB2312" w:hAnsi="仿宋" w:eastAsia="仿宋_GB2312" w:cs="仿宋_GB2312"/>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firstLine="0"/>
        <w:rPr>
          <w:rFonts w:hint="eastAsia" w:ascii="仿宋_GB2312" w:hAnsi="仿宋" w:eastAsia="仿宋_GB2312" w:cs="仿宋_GB2312"/>
          <w:b/>
          <w:bCs/>
          <w:sz w:val="32"/>
          <w:szCs w:val="32"/>
          <w:highlight w:val="none"/>
          <w:lang w:val="en-US" w:eastAsia="zh-CN" w:bidi="ar"/>
        </w:rPr>
        <w:sectPr>
          <w:pgSz w:w="16838" w:h="11906" w:orient="landscape"/>
          <w:pgMar w:top="1803" w:right="1440" w:bottom="1803" w:left="1440" w:header="851" w:footer="992" w:gutter="0"/>
          <w:cols w:space="720" w:num="1"/>
          <w:rtlGutter w:val="0"/>
          <w:docGrid w:type="lines" w:linePitch="319" w:charSpace="0"/>
        </w:sectPr>
      </w:pPr>
    </w:p>
    <w:p>
      <w:pPr>
        <w:keepNext w:val="0"/>
        <w:keepLines w:val="0"/>
        <w:pageBreakBefore w:val="0"/>
        <w:widowControl/>
        <w:kinsoku/>
        <w:wordWrap/>
        <w:overflowPunct/>
        <w:topLinePunct w:val="0"/>
        <w:autoSpaceDE/>
        <w:autoSpaceDN/>
        <w:bidi w:val="0"/>
        <w:adjustRightInd/>
        <w:snapToGrid/>
        <w:spacing w:line="600" w:lineRule="exact"/>
        <w:ind w:firstLine="0"/>
        <w:rPr>
          <w:rFonts w:hint="eastAsia" w:ascii="仿宋_GB2312" w:hAnsi="仿宋" w:eastAsia="仿宋_GB2312" w:cs="仿宋_GB2312"/>
          <w:b/>
          <w:bCs/>
          <w:sz w:val="32"/>
          <w:szCs w:val="32"/>
          <w:highlight w:val="none"/>
          <w:lang w:val="en-US" w:eastAsia="zh-CN" w:bidi="ar"/>
        </w:rPr>
      </w:pPr>
      <w:r>
        <w:rPr>
          <w:rFonts w:hint="eastAsia" w:ascii="仿宋_GB2312" w:hAnsi="仿宋" w:eastAsia="仿宋_GB2312" w:cs="仿宋_GB2312"/>
          <w:b/>
          <w:bCs/>
          <w:sz w:val="32"/>
          <w:szCs w:val="32"/>
          <w:highlight w:val="none"/>
          <w:lang w:val="en-US" w:eastAsia="zh-CN" w:bidi="ar"/>
        </w:rPr>
        <w:t>附件四：定点医药机构医保信用评价报告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定点医药机构医保信用评价报告</w:t>
      </w:r>
    </w:p>
    <w:tbl>
      <w:tblPr>
        <w:tblStyle w:val="5"/>
        <w:tblW w:w="368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16"/>
        <w:gridCol w:w="4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86" w:type="pct"/>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评价周期：</w:t>
            </w:r>
          </w:p>
        </w:tc>
        <w:tc>
          <w:tcPr>
            <w:tcW w:w="4013" w:type="pct"/>
            <w:tcBorders>
              <w:top w:val="nil"/>
              <w:left w:val="nil"/>
              <w:bottom w:val="nil"/>
              <w:right w:val="nil"/>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XXXX年01月01日-XXXX年12月31日</w:t>
            </w:r>
          </w:p>
        </w:tc>
      </w:tr>
    </w:tbl>
    <w:p>
      <w:pPr>
        <w:rPr>
          <w:rFonts w:hint="eastAsia"/>
          <w:lang w:val="en-US" w:eastAsia="zh-CN"/>
        </w:rPr>
      </w:pPr>
    </w:p>
    <w:tbl>
      <w:tblPr>
        <w:tblStyle w:val="5"/>
        <w:tblW w:w="623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3"/>
        <w:gridCol w:w="419"/>
        <w:gridCol w:w="395"/>
        <w:gridCol w:w="914"/>
        <w:gridCol w:w="234"/>
        <w:gridCol w:w="508"/>
        <w:gridCol w:w="312"/>
        <w:gridCol w:w="232"/>
        <w:gridCol w:w="844"/>
        <w:gridCol w:w="355"/>
        <w:gridCol w:w="232"/>
        <w:gridCol w:w="567"/>
        <w:gridCol w:w="1001"/>
        <w:gridCol w:w="236"/>
        <w:gridCol w:w="410"/>
        <w:gridCol w:w="132"/>
        <w:gridCol w:w="1337"/>
        <w:gridCol w:w="814"/>
        <w:gridCol w:w="395"/>
        <w:gridCol w:w="417"/>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991" w:type="pct"/>
          <w:trHeight w:val="510" w:hRule="atLeast"/>
        </w:trPr>
        <w:tc>
          <w:tcPr>
            <w:tcW w:w="4008" w:type="pct"/>
            <w:gridSpan w:val="17"/>
            <w:tcBorders>
              <w:top w:val="nil"/>
              <w:left w:val="nil"/>
              <w:bottom w:val="nil"/>
              <w:right w:val="nil"/>
            </w:tcBorders>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85"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196"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186"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429"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110"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86" w:type="pct"/>
            <w:gridSpan w:val="2"/>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109"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563" w:type="pct"/>
            <w:gridSpan w:val="2"/>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109"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737" w:type="pct"/>
            <w:gridSpan w:val="2"/>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111"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193"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1072" w:type="pct"/>
            <w:gridSpan w:val="3"/>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186"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196"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223"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991" w:type="pct"/>
          <w:trHeight w:val="1040" w:hRule="atLeast"/>
        </w:trPr>
        <w:tc>
          <w:tcPr>
            <w:tcW w:w="38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机构名称</w:t>
            </w:r>
          </w:p>
        </w:tc>
        <w:tc>
          <w:tcPr>
            <w:tcW w:w="1618" w:type="pct"/>
            <w:gridSpan w:val="7"/>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宋体" w:eastAsia="黑体" w:cs="黑体"/>
                <w:i w:val="0"/>
                <w:iCs w:val="0"/>
                <w:color w:val="000000"/>
                <w:sz w:val="22"/>
                <w:szCs w:val="22"/>
                <w:u w:val="none"/>
              </w:rPr>
            </w:pPr>
          </w:p>
        </w:tc>
        <w:tc>
          <w:tcPr>
            <w:tcW w:w="54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统一社会</w:t>
            </w:r>
          </w:p>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信用代码</w:t>
            </w:r>
          </w:p>
        </w:tc>
        <w:tc>
          <w:tcPr>
            <w:tcW w:w="1464"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991" w:type="pct"/>
          <w:trHeight w:val="1040" w:hRule="atLeast"/>
        </w:trPr>
        <w:tc>
          <w:tcPr>
            <w:tcW w:w="38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机构类型</w:t>
            </w:r>
          </w:p>
        </w:tc>
        <w:tc>
          <w:tcPr>
            <w:tcW w:w="616" w:type="pct"/>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医疗机构/药店</w:t>
            </w:r>
          </w:p>
        </w:tc>
        <w:tc>
          <w:tcPr>
            <w:tcW w:w="34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机构</w:t>
            </w:r>
          </w:p>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等级</w:t>
            </w:r>
          </w:p>
        </w:tc>
        <w:tc>
          <w:tcPr>
            <w:tcW w:w="652" w:type="pct"/>
            <w:gridSpan w:val="3"/>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X级或药店</w:t>
            </w:r>
          </w:p>
        </w:tc>
        <w:tc>
          <w:tcPr>
            <w:tcW w:w="54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医保编码</w:t>
            </w:r>
          </w:p>
        </w:tc>
        <w:tc>
          <w:tcPr>
            <w:tcW w:w="1464"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991" w:type="pct"/>
          <w:trHeight w:val="1040" w:hRule="atLeast"/>
        </w:trPr>
        <w:tc>
          <w:tcPr>
            <w:tcW w:w="38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机构地址</w:t>
            </w:r>
          </w:p>
        </w:tc>
        <w:tc>
          <w:tcPr>
            <w:tcW w:w="3626" w:type="pct"/>
            <w:gridSpan w:val="15"/>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991" w:type="pct"/>
          <w:trHeight w:val="1040" w:hRule="atLeast"/>
        </w:trPr>
        <w:tc>
          <w:tcPr>
            <w:tcW w:w="38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联系电话</w:t>
            </w:r>
          </w:p>
        </w:tc>
        <w:tc>
          <w:tcPr>
            <w:tcW w:w="1618" w:type="pct"/>
            <w:gridSpan w:val="7"/>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p>
        </w:tc>
        <w:tc>
          <w:tcPr>
            <w:tcW w:w="54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医保区划</w:t>
            </w:r>
          </w:p>
        </w:tc>
        <w:tc>
          <w:tcPr>
            <w:tcW w:w="471" w:type="pct"/>
            <w:tcBorders>
              <w:top w:val="single" w:color="000000" w:sz="4" w:space="0"/>
              <w:left w:val="single" w:color="000000" w:sz="4" w:space="0"/>
              <w:bottom w:val="single" w:color="000000" w:sz="4" w:space="0"/>
              <w:right w:val="nil"/>
            </w:tcBorders>
            <w:noWrap w:val="0"/>
            <w:vAlign w:val="center"/>
          </w:tcPr>
          <w:p>
            <w:pPr>
              <w:jc w:val="center"/>
              <w:rPr>
                <w:rFonts w:hint="eastAsia" w:ascii="黑体" w:hAnsi="宋体" w:eastAsia="黑体" w:cs="黑体"/>
                <w:i w:val="0"/>
                <w:iCs w:val="0"/>
                <w:color w:val="000000"/>
                <w:sz w:val="22"/>
                <w:szCs w:val="22"/>
                <w:u w:val="none"/>
              </w:rPr>
            </w:pPr>
          </w:p>
        </w:tc>
        <w:tc>
          <w:tcPr>
            <w:tcW w:w="36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法人代表</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r>
    </w:tbl>
    <w:p>
      <w:pPr>
        <w:pStyle w:val="2"/>
        <w:rPr>
          <w:rFonts w:hint="eastAsia"/>
          <w:lang w:val="en-US" w:eastAsia="zh-CN"/>
        </w:rPr>
      </w:pPr>
    </w:p>
    <w:tbl>
      <w:tblPr>
        <w:tblStyle w:val="5"/>
        <w:tblW w:w="504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5"/>
        <w:gridCol w:w="902"/>
        <w:gridCol w:w="225"/>
        <w:gridCol w:w="527"/>
        <w:gridCol w:w="532"/>
        <w:gridCol w:w="492"/>
        <w:gridCol w:w="40"/>
        <w:gridCol w:w="532"/>
        <w:gridCol w:w="532"/>
        <w:gridCol w:w="534"/>
        <w:gridCol w:w="139"/>
        <w:gridCol w:w="392"/>
        <w:gridCol w:w="532"/>
        <w:gridCol w:w="532"/>
        <w:gridCol w:w="320"/>
        <w:gridCol w:w="212"/>
        <w:gridCol w:w="532"/>
        <w:gridCol w:w="532"/>
        <w:gridCol w:w="501"/>
        <w:gridCol w:w="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7" w:type="pct"/>
          <w:trHeight w:val="510" w:hRule="atLeast"/>
        </w:trPr>
        <w:tc>
          <w:tcPr>
            <w:tcW w:w="4952" w:type="pct"/>
            <w:gridSpan w:val="19"/>
            <w:tcBorders>
              <w:top w:val="nil"/>
              <w:left w:val="nil"/>
              <w:bottom w:val="nil"/>
              <w:right w:val="nil"/>
            </w:tcBorders>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信用评价结果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00"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523"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131"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06"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09"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09" w:type="pct"/>
            <w:gridSpan w:val="2"/>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09"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09"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10"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09" w:type="pct"/>
            <w:gridSpan w:val="2"/>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09"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09"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09" w:type="pct"/>
            <w:gridSpan w:val="2"/>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09"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09"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35" w:type="pct"/>
            <w:gridSpan w:val="2"/>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7" w:type="pct"/>
          <w:trHeight w:val="375" w:hRule="atLeast"/>
        </w:trPr>
        <w:tc>
          <w:tcPr>
            <w:tcW w:w="82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信用等级</w:t>
            </w:r>
          </w:p>
        </w:tc>
        <w:tc>
          <w:tcPr>
            <w:tcW w:w="1032"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信用总分</w:t>
            </w:r>
          </w:p>
        </w:tc>
        <w:tc>
          <w:tcPr>
            <w:tcW w:w="1032"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协议履行</w:t>
            </w:r>
          </w:p>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扣分情况</w:t>
            </w:r>
          </w:p>
        </w:tc>
        <w:tc>
          <w:tcPr>
            <w:tcW w:w="103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基金监管</w:t>
            </w:r>
          </w:p>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扣分情况</w:t>
            </w:r>
          </w:p>
        </w:tc>
        <w:tc>
          <w:tcPr>
            <w:tcW w:w="103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奖励情况</w:t>
            </w:r>
          </w:p>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加分情况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7" w:type="pct"/>
          <w:trHeight w:val="580" w:hRule="atLeast"/>
        </w:trPr>
        <w:tc>
          <w:tcPr>
            <w:tcW w:w="82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c>
          <w:tcPr>
            <w:tcW w:w="1032" w:type="pct"/>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2"/>
                <w:szCs w:val="22"/>
                <w:u w:val="none"/>
              </w:rPr>
            </w:pPr>
          </w:p>
        </w:tc>
        <w:tc>
          <w:tcPr>
            <w:tcW w:w="1032"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c>
          <w:tcPr>
            <w:tcW w:w="1032"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c>
          <w:tcPr>
            <w:tcW w:w="1032"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r>
    </w:tbl>
    <w:p>
      <w:pPr>
        <w:rPr>
          <w:rFonts w:hint="eastAsia"/>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1"/>
        <w:gridCol w:w="531"/>
        <w:gridCol w:w="531"/>
        <w:gridCol w:w="532"/>
        <w:gridCol w:w="532"/>
        <w:gridCol w:w="532"/>
        <w:gridCol w:w="532"/>
        <w:gridCol w:w="532"/>
        <w:gridCol w:w="532"/>
        <w:gridCol w:w="532"/>
        <w:gridCol w:w="532"/>
        <w:gridCol w:w="532"/>
        <w:gridCol w:w="532"/>
        <w:gridCol w:w="532"/>
        <w:gridCol w:w="532"/>
        <w:gridCol w:w="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16"/>
            <w:tcBorders>
              <w:top w:val="nil"/>
              <w:left w:val="nil"/>
              <w:bottom w:val="nil"/>
              <w:right w:val="nil"/>
            </w:tcBorders>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医保信用风险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12"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12"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12"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12"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12"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12"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12"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12"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12"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12"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12"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12"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12"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12"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12"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18"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48"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表彰（次）</w:t>
            </w:r>
          </w:p>
        </w:tc>
        <w:tc>
          <w:tcPr>
            <w:tcW w:w="1248"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司法处罚（次）</w:t>
            </w:r>
          </w:p>
        </w:tc>
        <w:tc>
          <w:tcPr>
            <w:tcW w:w="1248"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行政处罚（次）</w:t>
            </w:r>
          </w:p>
        </w:tc>
        <w:tc>
          <w:tcPr>
            <w:tcW w:w="1254"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协议处理（次）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48"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c>
          <w:tcPr>
            <w:tcW w:w="1248"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c>
          <w:tcPr>
            <w:tcW w:w="1248"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c>
          <w:tcPr>
            <w:tcW w:w="1254"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r>
    </w:tbl>
    <w:p>
      <w:pPr>
        <w:pStyle w:val="2"/>
        <w:rPr>
          <w:rFonts w:hint="eastAsia"/>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7"/>
        <w:gridCol w:w="310"/>
        <w:gridCol w:w="748"/>
        <w:gridCol w:w="532"/>
        <w:gridCol w:w="385"/>
        <w:gridCol w:w="678"/>
        <w:gridCol w:w="532"/>
        <w:gridCol w:w="532"/>
        <w:gridCol w:w="532"/>
        <w:gridCol w:w="532"/>
        <w:gridCol w:w="532"/>
        <w:gridCol w:w="532"/>
        <w:gridCol w:w="532"/>
        <w:gridCol w:w="532"/>
        <w:gridCol w:w="532"/>
        <w:gridCol w:w="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16"/>
            <w:tcBorders>
              <w:top w:val="nil"/>
              <w:left w:val="nil"/>
              <w:bottom w:val="nil"/>
              <w:right w:val="nil"/>
            </w:tcBorders>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信用评价指标详情列表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10"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182"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439"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12"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225"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98"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12"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12"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12"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12"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12"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12"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12"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12"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12"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22"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9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一级指标</w:t>
            </w:r>
          </w:p>
        </w:tc>
        <w:tc>
          <w:tcPr>
            <w:tcW w:w="1022"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二级指标</w:t>
            </w:r>
          </w:p>
        </w:tc>
        <w:tc>
          <w:tcPr>
            <w:tcW w:w="156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三级指标</w:t>
            </w:r>
          </w:p>
        </w:tc>
        <w:tc>
          <w:tcPr>
            <w:tcW w:w="94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指标评分（分）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977"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c>
          <w:tcPr>
            <w:tcW w:w="1022"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c>
          <w:tcPr>
            <w:tcW w:w="1560"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c>
          <w:tcPr>
            <w:tcW w:w="946"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977"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c>
          <w:tcPr>
            <w:tcW w:w="1022"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c>
          <w:tcPr>
            <w:tcW w:w="1560"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c>
          <w:tcPr>
            <w:tcW w:w="946"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w:t>
            </w:r>
          </w:p>
        </w:tc>
        <w:tc>
          <w:tcPr>
            <w:tcW w:w="977"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c>
          <w:tcPr>
            <w:tcW w:w="1022"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c>
          <w:tcPr>
            <w:tcW w:w="1560"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c>
          <w:tcPr>
            <w:tcW w:w="946"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w:t>
            </w:r>
          </w:p>
        </w:tc>
        <w:tc>
          <w:tcPr>
            <w:tcW w:w="977"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c>
          <w:tcPr>
            <w:tcW w:w="1022"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c>
          <w:tcPr>
            <w:tcW w:w="1560"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c>
          <w:tcPr>
            <w:tcW w:w="946"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5</w:t>
            </w:r>
          </w:p>
        </w:tc>
        <w:tc>
          <w:tcPr>
            <w:tcW w:w="977"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c>
          <w:tcPr>
            <w:tcW w:w="1022"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c>
          <w:tcPr>
            <w:tcW w:w="1560"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c>
          <w:tcPr>
            <w:tcW w:w="946"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r>
    </w:tbl>
    <w:p>
      <w:pPr>
        <w:rPr>
          <w:rFonts w:hint="eastAsia"/>
          <w:lang w:val="en-US" w:eastAsia="zh-CN"/>
        </w:rPr>
      </w:pPr>
    </w:p>
    <w:tbl>
      <w:tblPr>
        <w:tblStyle w:val="5"/>
        <w:tblW w:w="503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290"/>
        <w:gridCol w:w="792"/>
        <w:gridCol w:w="432"/>
        <w:gridCol w:w="410"/>
        <w:gridCol w:w="300"/>
        <w:gridCol w:w="300"/>
        <w:gridCol w:w="877"/>
        <w:gridCol w:w="236"/>
        <w:gridCol w:w="744"/>
        <w:gridCol w:w="260"/>
        <w:gridCol w:w="485"/>
        <w:gridCol w:w="744"/>
        <w:gridCol w:w="11"/>
        <w:gridCol w:w="531"/>
        <w:gridCol w:w="711"/>
        <w:gridCol w:w="65"/>
        <w:gridCol w:w="302"/>
        <w:gridCol w:w="487"/>
        <w:gridCol w:w="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 w:type="pct"/>
          <w:trHeight w:val="510" w:hRule="atLeast"/>
        </w:trPr>
        <w:tc>
          <w:tcPr>
            <w:tcW w:w="4962" w:type="pct"/>
            <w:gridSpan w:val="19"/>
            <w:tcBorders>
              <w:top w:val="nil"/>
              <w:left w:val="nil"/>
              <w:bottom w:val="nil"/>
              <w:right w:val="nil"/>
            </w:tcBorders>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医保信用事件详情列表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15"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168"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461"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251"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238"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174"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174"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510"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137"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433"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433" w:type="pct"/>
            <w:gridSpan w:val="2"/>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433"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15" w:type="pct"/>
            <w:gridSpan w:val="2"/>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452" w:type="pct"/>
            <w:gridSpan w:val="2"/>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175" w:type="pct"/>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c>
          <w:tcPr>
            <w:tcW w:w="321" w:type="pct"/>
            <w:gridSpan w:val="2"/>
            <w:tcBorders>
              <w:top w:val="nil"/>
              <w:left w:val="nil"/>
              <w:bottom w:val="nil"/>
              <w:right w:val="nil"/>
            </w:tcBorders>
            <w:noWrap/>
            <w:vAlign w:val="center"/>
          </w:tcPr>
          <w:p>
            <w:pPr>
              <w:jc w:val="center"/>
              <w:rPr>
                <w:rFonts w:hint="eastAsia" w:ascii="黑体" w:hAnsi="宋体" w:eastAsia="黑体" w:cs="黑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 w:type="pct"/>
          <w:trHeight w:val="375" w:hRule="atLeast"/>
        </w:trPr>
        <w:tc>
          <w:tcPr>
            <w:tcW w:w="48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事件编号</w:t>
            </w:r>
          </w:p>
        </w:tc>
        <w:tc>
          <w:tcPr>
            <w:tcW w:w="71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事件类型</w:t>
            </w:r>
          </w:p>
        </w:tc>
        <w:tc>
          <w:tcPr>
            <w:tcW w:w="1098"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事件名称</w:t>
            </w:r>
          </w:p>
        </w:tc>
        <w:tc>
          <w:tcPr>
            <w:tcW w:w="722"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事件</w:t>
            </w:r>
          </w:p>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开始</w:t>
            </w:r>
            <w:r>
              <w:rPr>
                <w:rStyle w:val="9"/>
                <w:sz w:val="22"/>
                <w:szCs w:val="22"/>
                <w:lang w:val="en-US" w:eastAsia="zh-CN" w:bidi="ar"/>
              </w:rPr>
              <w:t>⽇</w:t>
            </w:r>
            <w:r>
              <w:rPr>
                <w:rStyle w:val="11"/>
                <w:sz w:val="22"/>
                <w:szCs w:val="22"/>
                <w:lang w:val="en-US" w:eastAsia="zh-CN" w:bidi="ar"/>
              </w:rPr>
              <w:t>期</w:t>
            </w:r>
          </w:p>
        </w:tc>
        <w:tc>
          <w:tcPr>
            <w:tcW w:w="722"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事件</w:t>
            </w:r>
          </w:p>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截</w:t>
            </w:r>
            <w:r>
              <w:rPr>
                <w:rStyle w:val="9"/>
                <w:sz w:val="22"/>
                <w:szCs w:val="22"/>
                <w:lang w:val="en-US" w:eastAsia="zh-CN" w:bidi="ar"/>
              </w:rPr>
              <w:t>⽌⽇</w:t>
            </w:r>
            <w:r>
              <w:rPr>
                <w:rStyle w:val="11"/>
                <w:sz w:val="22"/>
                <w:szCs w:val="22"/>
                <w:lang w:val="en-US" w:eastAsia="zh-CN" w:bidi="ar"/>
              </w:rPr>
              <w:t>期</w:t>
            </w:r>
          </w:p>
        </w:tc>
        <w:tc>
          <w:tcPr>
            <w:tcW w:w="72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处理</w:t>
            </w:r>
            <w:r>
              <w:rPr>
                <w:rStyle w:val="9"/>
                <w:sz w:val="22"/>
                <w:szCs w:val="22"/>
                <w:lang w:val="en-US" w:eastAsia="zh-CN" w:bidi="ar"/>
              </w:rPr>
              <w:t>⽇</w:t>
            </w:r>
            <w:r>
              <w:rPr>
                <w:rStyle w:val="11"/>
                <w:sz w:val="22"/>
                <w:szCs w:val="22"/>
                <w:lang w:val="en-US" w:eastAsia="zh-CN" w:bidi="ar"/>
              </w:rPr>
              <w:t>期</w:t>
            </w:r>
          </w:p>
        </w:tc>
        <w:tc>
          <w:tcPr>
            <w:tcW w:w="49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处理状态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 w:type="pct"/>
          <w:trHeight w:val="375" w:hRule="atLeast"/>
        </w:trPr>
        <w:tc>
          <w:tcPr>
            <w:tcW w:w="48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71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2"/>
                <w:szCs w:val="22"/>
                <w:u w:val="none"/>
              </w:rPr>
            </w:pPr>
          </w:p>
        </w:tc>
        <w:tc>
          <w:tcPr>
            <w:tcW w:w="1098" w:type="pct"/>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2"/>
                <w:szCs w:val="22"/>
                <w:u w:val="none"/>
              </w:rPr>
            </w:pPr>
          </w:p>
        </w:tc>
        <w:tc>
          <w:tcPr>
            <w:tcW w:w="72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2"/>
                <w:szCs w:val="22"/>
                <w:u w:val="none"/>
              </w:rPr>
            </w:pPr>
          </w:p>
        </w:tc>
        <w:tc>
          <w:tcPr>
            <w:tcW w:w="72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2"/>
                <w:szCs w:val="22"/>
                <w:u w:val="none"/>
              </w:rPr>
            </w:pPr>
          </w:p>
        </w:tc>
        <w:tc>
          <w:tcPr>
            <w:tcW w:w="72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2"/>
                <w:szCs w:val="22"/>
                <w:u w:val="none"/>
              </w:rPr>
            </w:pPr>
          </w:p>
        </w:tc>
        <w:tc>
          <w:tcPr>
            <w:tcW w:w="497"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 w:type="pct"/>
          <w:trHeight w:val="375" w:hRule="atLeast"/>
        </w:trPr>
        <w:tc>
          <w:tcPr>
            <w:tcW w:w="48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71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2"/>
                <w:szCs w:val="22"/>
                <w:u w:val="none"/>
              </w:rPr>
            </w:pPr>
          </w:p>
        </w:tc>
        <w:tc>
          <w:tcPr>
            <w:tcW w:w="1098" w:type="pct"/>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2"/>
                <w:szCs w:val="22"/>
                <w:u w:val="none"/>
              </w:rPr>
            </w:pPr>
          </w:p>
        </w:tc>
        <w:tc>
          <w:tcPr>
            <w:tcW w:w="72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2"/>
                <w:szCs w:val="22"/>
                <w:u w:val="none"/>
              </w:rPr>
            </w:pPr>
          </w:p>
        </w:tc>
        <w:tc>
          <w:tcPr>
            <w:tcW w:w="72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2"/>
                <w:szCs w:val="22"/>
                <w:u w:val="none"/>
              </w:rPr>
            </w:pPr>
          </w:p>
        </w:tc>
        <w:tc>
          <w:tcPr>
            <w:tcW w:w="72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2"/>
                <w:szCs w:val="22"/>
                <w:u w:val="none"/>
              </w:rPr>
            </w:pPr>
          </w:p>
        </w:tc>
        <w:tc>
          <w:tcPr>
            <w:tcW w:w="497"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 w:type="pct"/>
          <w:trHeight w:val="375" w:hRule="atLeast"/>
        </w:trPr>
        <w:tc>
          <w:tcPr>
            <w:tcW w:w="48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w:t>
            </w:r>
          </w:p>
        </w:tc>
        <w:tc>
          <w:tcPr>
            <w:tcW w:w="71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2"/>
                <w:szCs w:val="22"/>
                <w:u w:val="none"/>
              </w:rPr>
            </w:pPr>
          </w:p>
        </w:tc>
        <w:tc>
          <w:tcPr>
            <w:tcW w:w="1098" w:type="pct"/>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2"/>
                <w:szCs w:val="22"/>
                <w:u w:val="none"/>
              </w:rPr>
            </w:pPr>
          </w:p>
        </w:tc>
        <w:tc>
          <w:tcPr>
            <w:tcW w:w="72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2"/>
                <w:szCs w:val="22"/>
                <w:u w:val="none"/>
              </w:rPr>
            </w:pPr>
          </w:p>
        </w:tc>
        <w:tc>
          <w:tcPr>
            <w:tcW w:w="72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2"/>
                <w:szCs w:val="22"/>
                <w:u w:val="none"/>
              </w:rPr>
            </w:pPr>
          </w:p>
        </w:tc>
        <w:tc>
          <w:tcPr>
            <w:tcW w:w="72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2"/>
                <w:szCs w:val="22"/>
                <w:u w:val="none"/>
              </w:rPr>
            </w:pPr>
          </w:p>
        </w:tc>
        <w:tc>
          <w:tcPr>
            <w:tcW w:w="497"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 w:type="pct"/>
          <w:trHeight w:val="375" w:hRule="atLeast"/>
        </w:trPr>
        <w:tc>
          <w:tcPr>
            <w:tcW w:w="48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w:t>
            </w:r>
          </w:p>
        </w:tc>
        <w:tc>
          <w:tcPr>
            <w:tcW w:w="71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2"/>
                <w:szCs w:val="22"/>
                <w:u w:val="none"/>
              </w:rPr>
            </w:pPr>
          </w:p>
        </w:tc>
        <w:tc>
          <w:tcPr>
            <w:tcW w:w="1098" w:type="pct"/>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2"/>
                <w:szCs w:val="22"/>
                <w:u w:val="none"/>
              </w:rPr>
            </w:pPr>
          </w:p>
        </w:tc>
        <w:tc>
          <w:tcPr>
            <w:tcW w:w="72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2"/>
                <w:szCs w:val="22"/>
                <w:u w:val="none"/>
              </w:rPr>
            </w:pPr>
          </w:p>
        </w:tc>
        <w:tc>
          <w:tcPr>
            <w:tcW w:w="72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2"/>
                <w:szCs w:val="22"/>
                <w:u w:val="none"/>
              </w:rPr>
            </w:pPr>
          </w:p>
        </w:tc>
        <w:tc>
          <w:tcPr>
            <w:tcW w:w="72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2"/>
                <w:szCs w:val="22"/>
                <w:u w:val="none"/>
              </w:rPr>
            </w:pPr>
          </w:p>
        </w:tc>
        <w:tc>
          <w:tcPr>
            <w:tcW w:w="497"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2"/>
                <w:szCs w:val="22"/>
                <w:u w:val="none"/>
              </w:rPr>
            </w:pPr>
          </w:p>
        </w:tc>
      </w:tr>
    </w:tbl>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0"/>
        <w:rPr>
          <w:rFonts w:hint="eastAsia" w:ascii="仿宋_GB2312" w:hAnsi="仿宋" w:eastAsia="仿宋_GB2312" w:cs="仿宋_GB2312"/>
          <w:sz w:val="32"/>
          <w:szCs w:val="32"/>
          <w:highlight w:val="none"/>
          <w:lang w:val="en-US" w:eastAsia="zh-CN" w:bidi="ar"/>
        </w:rPr>
      </w:pPr>
      <w:r>
        <w:rPr>
          <w:rFonts w:hint="eastAsia" w:ascii="仿宋_GB2312" w:hAnsi="仿宋" w:eastAsia="仿宋_GB2312" w:cs="仿宋_GB2312"/>
          <w:b/>
          <w:bCs/>
          <w:sz w:val="32"/>
          <w:szCs w:val="32"/>
          <w:highlight w:val="none"/>
          <w:lang w:val="en-US" w:eastAsia="zh-CN" w:bidi="ar"/>
        </w:rPr>
        <w:br w:type="page"/>
      </w:r>
      <w:r>
        <w:rPr>
          <w:rFonts w:hint="eastAsia" w:ascii="仿宋_GB2312" w:hAnsi="仿宋" w:eastAsia="仿宋_GB2312" w:cs="仿宋_GB2312"/>
          <w:b/>
          <w:bCs/>
          <w:sz w:val="32"/>
          <w:szCs w:val="32"/>
          <w:highlight w:val="none"/>
          <w:lang w:val="en-US" w:eastAsia="zh-CN" w:bidi="ar"/>
        </w:rPr>
        <w:t>附件五：定点医药机构医保信用评级告知书</w:t>
      </w:r>
    </w:p>
    <w:p>
      <w:pPr>
        <w:pStyle w:val="2"/>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定点医药机构医保信用评</w:t>
      </w:r>
      <w:r>
        <w:rPr>
          <w:rFonts w:hint="eastAsia" w:ascii="方正小标宋简体" w:hAnsi="方正小标宋简体" w:eastAsia="方正小标宋简体" w:cs="方正小标宋简体"/>
          <w:sz w:val="44"/>
          <w:szCs w:val="44"/>
          <w:highlight w:val="none"/>
          <w:lang w:val="en-US" w:eastAsia="zh-CN"/>
        </w:rPr>
        <w:t>级</w:t>
      </w:r>
      <w:r>
        <w:rPr>
          <w:rFonts w:hint="eastAsia" w:ascii="方正小标宋简体" w:hAnsi="方正小标宋简体" w:eastAsia="方正小标宋简体" w:cs="方正小标宋简体"/>
          <w:sz w:val="44"/>
          <w:szCs w:val="44"/>
          <w:highlight w:val="none"/>
        </w:rPr>
        <w:t>告知书</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3840" w:firstLineChars="1200"/>
        <w:jc w:val="left"/>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文号：</w:t>
      </w:r>
      <w:r>
        <w:rPr>
          <w:rFonts w:hint="eastAsia" w:ascii="仿宋_GB2312" w:hAnsi="仿宋_GB2312" w:eastAsia="仿宋_GB2312" w:cs="仿宋_GB2312"/>
          <w:sz w:val="32"/>
          <w:szCs w:val="32"/>
          <w:highlight w:val="none"/>
          <w:u w:val="single"/>
          <w:lang w:val="en-US" w:eastAsia="zh-CN"/>
        </w:rPr>
        <w:t xml:space="preserve">               </w:t>
      </w:r>
      <w:r>
        <w:rPr>
          <w:rFonts w:hint="eastAsia" w:ascii="宋体" w:hAnsi="宋体" w:eastAsia="宋体" w:cs="宋体"/>
          <w:sz w:val="32"/>
          <w:szCs w:val="32"/>
          <w:highlight w:val="none"/>
          <w:u w:val="none"/>
          <w:lang w:val="en-US" w:eastAsia="zh-CN"/>
        </w:rPr>
        <w:t>〔   〕</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89"/>
        <w:gridCol w:w="513"/>
        <w:gridCol w:w="923"/>
        <w:gridCol w:w="1302"/>
        <w:gridCol w:w="1387"/>
        <w:gridCol w:w="562"/>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机构名称</w:t>
            </w:r>
          </w:p>
        </w:tc>
        <w:tc>
          <w:tcPr>
            <w:tcW w:w="4109" w:type="pct"/>
            <w:gridSpan w:val="7"/>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统一社会信用代码</w:t>
            </w:r>
          </w:p>
        </w:tc>
        <w:tc>
          <w:tcPr>
            <w:tcW w:w="4109" w:type="pct"/>
            <w:gridSpan w:val="7"/>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违规</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行为</w:t>
            </w:r>
          </w:p>
        </w:tc>
        <w:tc>
          <w:tcPr>
            <w:tcW w:w="4109" w:type="pct"/>
            <w:gridSpan w:val="7"/>
            <w:noWrap w:val="0"/>
            <w:vAlign w:val="center"/>
          </w:tcPr>
          <w:p>
            <w:pPr>
              <w:keepNext w:val="0"/>
              <w:keepLines w:val="0"/>
              <w:pageBreakBefore w:val="0"/>
              <w:widowControl w:val="0"/>
              <w:kinsoku/>
              <w:wordWrap w:val="0"/>
              <w:overflowPunct/>
              <w:topLinePunct w:val="0"/>
              <w:autoSpaceDE/>
              <w:autoSpaceDN/>
              <w:bidi w:val="0"/>
              <w:adjustRightInd/>
              <w:snapToGrid/>
              <w:spacing w:beforeLines="0" w:afterLines="0" w:line="560" w:lineRule="exact"/>
              <w:jc w:val="right"/>
              <w:textAlignment w:val="auto"/>
              <w:rPr>
                <w:rFonts w:hint="eastAsia" w:ascii="仿宋_GB2312" w:hAnsi="仿宋_GB2312" w:eastAsia="仿宋_GB2312" w:cs="仿宋_GB2312"/>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医疗保障经办机构处理意见</w:t>
            </w:r>
          </w:p>
        </w:tc>
        <w:tc>
          <w:tcPr>
            <w:tcW w:w="4109" w:type="pct"/>
            <w:gridSpan w:val="7"/>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firstLine="640" w:firstLineChars="200"/>
              <w:jc w:val="left"/>
              <w:textAlignment w:val="auto"/>
              <w:rPr>
                <w:rFonts w:hint="default" w:ascii="仿宋_GB2312" w:hAnsi="仿宋_GB2312" w:eastAsia="仿宋_GB2312" w:cs="仿宋_GB2312"/>
                <w:sz w:val="32"/>
                <w:szCs w:val="32"/>
                <w:highlight w:val="none"/>
                <w:u w:val="none"/>
                <w:vertAlign w:val="baseline"/>
                <w:lang w:val="en-US" w:eastAsia="zh-CN"/>
              </w:rPr>
            </w:pPr>
            <w:r>
              <w:rPr>
                <w:rFonts w:hint="eastAsia" w:ascii="仿宋_GB2312" w:hAnsi="仿宋_GB2312" w:eastAsia="仿宋_GB2312" w:cs="仿宋_GB2312"/>
                <w:sz w:val="32"/>
                <w:szCs w:val="32"/>
                <w:highlight w:val="none"/>
                <w:u w:val="none"/>
                <w:vertAlign w:val="baseline"/>
                <w:lang w:val="en-US" w:eastAsia="zh-CN"/>
              </w:rPr>
              <w:t>本次扣减信用分数</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sz w:val="32"/>
                <w:szCs w:val="32"/>
                <w:highlight w:val="none"/>
                <w:u w:val="none"/>
                <w:vertAlign w:val="baseline"/>
                <w:lang w:val="en-US" w:eastAsia="zh-CN"/>
              </w:rPr>
              <w:t>分；本年度现有信用分数</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sz w:val="32"/>
                <w:szCs w:val="32"/>
                <w:highlight w:val="none"/>
                <w:u w:val="none"/>
                <w:vertAlign w:val="baseline"/>
                <w:lang w:val="en-US" w:eastAsia="zh-CN"/>
              </w:rPr>
              <w:t>分（总分1000分）。</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firstLine="640" w:firstLineChars="200"/>
              <w:jc w:val="left"/>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予以</w:t>
            </w:r>
            <w:r>
              <w:rPr>
                <w:rFonts w:hint="eastAsia" w:ascii="仿宋_GB2312" w:hAnsi="仿宋_GB2312" w:eastAsia="仿宋_GB2312" w:cs="仿宋_GB2312"/>
                <w:sz w:val="32"/>
                <w:szCs w:val="32"/>
                <w:highlight w:val="none"/>
                <w:u w:val="single"/>
                <w:vertAlign w:val="baseline"/>
                <w:lang w:val="en-US" w:eastAsia="zh-CN"/>
              </w:rPr>
              <w:t xml:space="preserve">                                      </w:t>
            </w:r>
          </w:p>
          <w:p>
            <w:pPr>
              <w:widowControl/>
              <w:spacing w:beforeLines="0" w:afterLines="0" w:line="560" w:lineRule="exact"/>
              <w:jc w:val="left"/>
              <w:rPr>
                <w:rFonts w:hint="eastAsia" w:ascii="仿宋_GB2312" w:hAnsi="仿宋_GB2312" w:eastAsia="仿宋_GB2312" w:cs="仿宋_GB2312"/>
                <w:sz w:val="32"/>
                <w:szCs w:val="32"/>
                <w:highlight w:val="none"/>
                <w:u w:val="single"/>
                <w:vertAlign w:val="baseline"/>
                <w:lang w:val="en-US" w:eastAsia="zh-CN"/>
              </w:rPr>
            </w:pPr>
            <w:r>
              <w:rPr>
                <w:rFonts w:hint="eastAsia" w:ascii="仿宋_GB2312" w:hAnsi="仿宋_GB2312" w:eastAsia="仿宋_GB2312" w:cs="仿宋_GB2312"/>
                <w:sz w:val="32"/>
                <w:szCs w:val="32"/>
                <w:highlight w:val="none"/>
                <w:u w:val="single"/>
                <w:vertAlign w:val="baseline"/>
                <w:lang w:val="en-US" w:eastAsia="zh-CN"/>
              </w:rPr>
              <w:t xml:space="preserve">                                          </w:t>
            </w:r>
          </w:p>
          <w:p>
            <w:pPr>
              <w:widowControl/>
              <w:spacing w:beforeLines="0" w:afterLines="0" w:line="560" w:lineRule="exact"/>
              <w:jc w:val="lef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single"/>
                <w:vertAlign w:val="baseline"/>
                <w:lang w:val="en-US" w:eastAsia="zh-CN"/>
              </w:rPr>
              <w:t xml:space="preserve">                                          </w:t>
            </w:r>
          </w:p>
          <w:p>
            <w:pPr>
              <w:widowControl/>
              <w:spacing w:beforeLines="0" w:afterLines="0" w:line="560" w:lineRule="exact"/>
              <w:jc w:val="lef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single"/>
                <w:vertAlign w:val="baseline"/>
                <w:lang w:val="en-US" w:eastAsia="zh-CN"/>
              </w:rPr>
              <w:t xml:space="preserve">                                          </w:t>
            </w:r>
          </w:p>
          <w:p>
            <w:pPr>
              <w:widowControl/>
              <w:spacing w:beforeLines="0" w:afterLines="0" w:line="560" w:lineRule="exact"/>
              <w:jc w:val="left"/>
              <w:rPr>
                <w:rFonts w:hint="default" w:cs="Times New Roman"/>
                <w:highlight w:val="none"/>
                <w:lang w:val="en-US" w:eastAsia="zh-CN"/>
              </w:rPr>
            </w:pP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sz w:val="32"/>
                <w:szCs w:val="32"/>
                <w:highlight w:val="none"/>
                <w:u w:val="none"/>
                <w:vertAlign w:val="baseline"/>
                <w:lang w:val="en-US" w:eastAsia="zh-CN"/>
              </w:rPr>
              <w:t>处罚。</w:t>
            </w:r>
          </w:p>
          <w:p>
            <w:pPr>
              <w:pStyle w:val="2"/>
              <w:rPr>
                <w:rFonts w:hint="eastAsia"/>
                <w:highlight w:val="none"/>
                <w:lang w:val="en-US" w:eastAsia="zh-CN"/>
              </w:rPr>
            </w:pPr>
          </w:p>
          <w:p>
            <w:pPr>
              <w:spacing w:beforeLines="0" w:afterLines="0" w:line="560" w:lineRule="exact"/>
              <w:ind w:left="0" w:leftChars="0" w:firstLine="3840" w:firstLineChars="1200"/>
              <w:jc w:val="left"/>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sz w:val="32"/>
                <w:szCs w:val="32"/>
                <w:highlight w:val="none"/>
                <w:lang w:val="en-US" w:eastAsia="zh-CN" w:bidi="ar"/>
              </w:rPr>
              <w:t>公章</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firstLine="3840" w:firstLineChars="1200"/>
              <w:jc w:val="left"/>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lang w:bidi="ar"/>
              </w:rPr>
              <w:t>日期：</w:t>
            </w:r>
            <w:r>
              <w:rPr>
                <w:rFonts w:hint="eastAsia" w:ascii="仿宋_GB2312" w:hAnsi="仿宋_GB2312" w:eastAsia="仿宋_GB2312" w:cs="仿宋_GB2312"/>
                <w:sz w:val="32"/>
                <w:szCs w:val="32"/>
                <w:highlight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送达人</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签字</w:t>
            </w:r>
          </w:p>
        </w:tc>
        <w:tc>
          <w:tcPr>
            <w:tcW w:w="756"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sz w:val="32"/>
                <w:szCs w:val="32"/>
                <w:highlight w:val="none"/>
                <w:vertAlign w:val="baseline"/>
                <w:lang w:val="en-US" w:eastAsia="zh-CN"/>
              </w:rPr>
            </w:pPr>
          </w:p>
        </w:tc>
        <w:tc>
          <w:tcPr>
            <w:tcW w:w="301"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p>
        </w:tc>
        <w:tc>
          <w:tcPr>
            <w:tcW w:w="541"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sz w:val="32"/>
                <w:szCs w:val="32"/>
                <w:highlight w:val="none"/>
                <w:vertAlign w:val="baseline"/>
                <w:lang w:val="en-US" w:eastAsia="zh-CN"/>
              </w:rPr>
            </w:pPr>
          </w:p>
        </w:tc>
        <w:tc>
          <w:tcPr>
            <w:tcW w:w="764"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接收人</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签字</w:t>
            </w:r>
          </w:p>
        </w:tc>
        <w:tc>
          <w:tcPr>
            <w:tcW w:w="814"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sz w:val="32"/>
                <w:szCs w:val="32"/>
                <w:highlight w:val="none"/>
                <w:vertAlign w:val="baseline"/>
                <w:lang w:val="en-US" w:eastAsia="zh-CN"/>
              </w:rPr>
            </w:pPr>
          </w:p>
        </w:tc>
        <w:tc>
          <w:tcPr>
            <w:tcW w:w="330"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p>
        </w:tc>
        <w:tc>
          <w:tcPr>
            <w:tcW w:w="601"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000" w:type="pct"/>
            <w:gridSpan w:val="8"/>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备注：如有异议需15日内提出书面申请，逾期视同无异议。</w:t>
            </w:r>
          </w:p>
        </w:tc>
      </w:tr>
    </w:tbl>
    <w:p>
      <w:pPr>
        <w:pStyle w:val="2"/>
        <w:widowControl/>
        <w:spacing w:beforeLines="0" w:after="0" w:afterLines="0" w:line="560" w:lineRule="exact"/>
        <w:ind w:firstLine="0" w:firstLineChars="0"/>
        <w:jc w:val="center"/>
        <w:rPr>
          <w:rFonts w:ascii="仿宋_GB2312" w:eastAsia="仿宋_GB2312"/>
          <w:sz w:val="28"/>
          <w:szCs w:val="28"/>
          <w:highlight w:val="none"/>
        </w:rPr>
      </w:pPr>
      <w:r>
        <w:rPr>
          <w:rFonts w:hint="eastAsia" w:ascii="仿宋_GB2312" w:eastAsia="仿宋_GB2312"/>
          <w:sz w:val="28"/>
          <w:szCs w:val="28"/>
          <w:highlight w:val="none"/>
          <w:lang w:val="en-US" w:eastAsia="zh-CN"/>
        </w:rPr>
        <w:t>本文书一式两份，经办机构留存一份，医药机构留存一份。</w:t>
      </w:r>
    </w:p>
    <w:p>
      <w:pPr>
        <w:pStyle w:val="2"/>
        <w:rPr>
          <w:rFonts w:hint="eastAsia" w:ascii="仿宋_GB2312" w:hAnsi="仿宋" w:eastAsia="仿宋_GB2312" w:cs="仿宋_GB2312"/>
          <w:sz w:val="32"/>
          <w:szCs w:val="32"/>
          <w:highlight w:val="none"/>
          <w:lang w:val="en-US" w:eastAsia="zh-CN" w:bidi="ar"/>
        </w:rPr>
      </w:pPr>
      <w:r>
        <w:rPr>
          <w:rFonts w:hint="eastAsia"/>
          <w:highlight w:val="none"/>
          <w:lang w:val="en-US" w:eastAsia="zh-CN"/>
        </w:rPr>
        <w:br w:type="page"/>
      </w:r>
      <w:r>
        <w:rPr>
          <w:rFonts w:hint="eastAsia" w:ascii="仿宋_GB2312" w:hAnsi="仿宋" w:eastAsia="仿宋_GB2312" w:cs="仿宋_GB2312"/>
          <w:b/>
          <w:bCs/>
          <w:sz w:val="32"/>
          <w:szCs w:val="32"/>
          <w:highlight w:val="none"/>
          <w:lang w:val="en-US" w:eastAsia="zh-CN" w:bidi="ar"/>
        </w:rPr>
        <w:t>附件六：定点医药机构医保信用异议申请书</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定点医药机构医保信用异议申请书</w:t>
      </w:r>
    </w:p>
    <w:p>
      <w:pPr>
        <w:ind w:firstLine="0" w:firstLineChars="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处理通知书文号：</w:t>
      </w:r>
    </w:p>
    <w:tbl>
      <w:tblPr>
        <w:tblStyle w:val="6"/>
        <w:tblW w:w="8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3391"/>
        <w:gridCol w:w="914"/>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6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机构名称</w:t>
            </w:r>
          </w:p>
        </w:tc>
        <w:tc>
          <w:tcPr>
            <w:tcW w:w="63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6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统一社会信用代码</w:t>
            </w:r>
          </w:p>
        </w:tc>
        <w:tc>
          <w:tcPr>
            <w:tcW w:w="339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sz w:val="32"/>
                <w:szCs w:val="32"/>
                <w:highlight w:val="none"/>
                <w:vertAlign w:val="baseline"/>
                <w:lang w:val="en-US" w:eastAsia="zh-CN"/>
              </w:rPr>
            </w:pP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联系电话</w:t>
            </w:r>
          </w:p>
        </w:tc>
        <w:tc>
          <w:tcPr>
            <w:tcW w:w="203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8" w:hRule="atLeast"/>
          <w:jc w:val="center"/>
        </w:trPr>
        <w:tc>
          <w:tcPr>
            <w:tcW w:w="8002" w:type="dxa"/>
            <w:gridSpan w:val="4"/>
            <w:noWrap w:val="0"/>
            <w:vAlign w:val="top"/>
          </w:tcPr>
          <w:p>
            <w:pPr>
              <w:jc w:val="both"/>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异议申请内容：（可附相关证明材料）</w:t>
            </w:r>
          </w:p>
          <w:p>
            <w:pPr>
              <w:jc w:val="both"/>
              <w:rPr>
                <w:rFonts w:hint="eastAsia" w:ascii="仿宋_GB2312" w:hAnsi="仿宋_GB2312" w:eastAsia="仿宋_GB2312" w:cs="仿宋_GB2312"/>
                <w:sz w:val="32"/>
                <w:szCs w:val="32"/>
                <w:highlight w:val="none"/>
                <w:vertAlign w:val="baseline"/>
                <w:lang w:val="en-US" w:eastAsia="zh-CN"/>
              </w:rPr>
            </w:pPr>
          </w:p>
          <w:p>
            <w:pPr>
              <w:jc w:val="both"/>
              <w:rPr>
                <w:rFonts w:hint="eastAsia" w:ascii="仿宋_GB2312" w:hAnsi="仿宋_GB2312" w:eastAsia="仿宋_GB2312" w:cs="仿宋_GB2312"/>
                <w:sz w:val="32"/>
                <w:szCs w:val="32"/>
                <w:highlight w:val="none"/>
                <w:vertAlign w:val="baseline"/>
                <w:lang w:val="en-US" w:eastAsia="zh-CN"/>
              </w:rPr>
            </w:pPr>
          </w:p>
          <w:p>
            <w:pPr>
              <w:jc w:val="both"/>
              <w:rPr>
                <w:rFonts w:hint="eastAsia" w:ascii="仿宋_GB2312" w:hAnsi="仿宋_GB2312" w:eastAsia="仿宋_GB2312" w:cs="仿宋_GB2312"/>
                <w:sz w:val="32"/>
                <w:szCs w:val="32"/>
                <w:highlight w:val="none"/>
                <w:vertAlign w:val="baseline"/>
                <w:lang w:val="en-US" w:eastAsia="zh-CN"/>
              </w:rPr>
            </w:pPr>
          </w:p>
          <w:p>
            <w:pPr>
              <w:jc w:val="both"/>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公章：</w:t>
            </w:r>
          </w:p>
          <w:p>
            <w:pPr>
              <w:jc w:val="both"/>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r>
              <w:rPr>
                <w:rFonts w:hint="eastAsia" w:ascii="仿宋_GB2312" w:hAnsi="仿宋_GB2312" w:eastAsia="仿宋_GB2312" w:cs="仿宋_GB2312"/>
                <w:i w:val="0"/>
                <w:iCs w:val="0"/>
                <w:color w:val="000000"/>
                <w:kern w:val="0"/>
                <w:sz w:val="32"/>
                <w:szCs w:val="32"/>
                <w:highlight w:val="none"/>
                <w:u w:val="none"/>
                <w:lang w:val="en-US" w:eastAsia="zh-CN" w:bidi="ar"/>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8002" w:type="dxa"/>
            <w:gridSpan w:val="4"/>
            <w:noWrap w:val="0"/>
            <w:vAlign w:val="top"/>
          </w:tcPr>
          <w:p>
            <w:pPr>
              <w:jc w:val="both"/>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行政部门意见：</w:t>
            </w:r>
          </w:p>
          <w:p>
            <w:pPr>
              <w:jc w:val="both"/>
              <w:rPr>
                <w:rFonts w:hint="eastAsia" w:ascii="仿宋_GB2312" w:hAnsi="仿宋_GB2312" w:eastAsia="仿宋_GB2312" w:cs="仿宋_GB2312"/>
                <w:sz w:val="32"/>
                <w:szCs w:val="32"/>
                <w:highlight w:val="none"/>
                <w:vertAlign w:val="baseline"/>
                <w:lang w:val="en-US" w:eastAsia="zh-CN"/>
              </w:rPr>
            </w:pPr>
          </w:p>
          <w:p>
            <w:pPr>
              <w:jc w:val="both"/>
              <w:rPr>
                <w:rFonts w:hint="eastAsia" w:ascii="仿宋_GB2312" w:hAnsi="仿宋_GB2312" w:eastAsia="仿宋_GB2312" w:cs="仿宋_GB2312"/>
                <w:sz w:val="32"/>
                <w:szCs w:val="32"/>
                <w:highlight w:val="none"/>
                <w:vertAlign w:val="baseline"/>
                <w:lang w:val="en-US" w:eastAsia="zh-CN"/>
              </w:rPr>
            </w:pPr>
          </w:p>
          <w:p>
            <w:pPr>
              <w:jc w:val="both"/>
              <w:rPr>
                <w:rFonts w:hint="eastAsia" w:ascii="仿宋_GB2312" w:hAnsi="仿宋_GB2312" w:eastAsia="仿宋_GB2312" w:cs="仿宋_GB2312"/>
                <w:sz w:val="32"/>
                <w:szCs w:val="32"/>
                <w:highlight w:val="none"/>
                <w:vertAlign w:val="baseline"/>
                <w:lang w:val="en-US" w:eastAsia="zh-CN"/>
              </w:rPr>
            </w:pPr>
          </w:p>
          <w:p>
            <w:pPr>
              <w:ind w:firstLine="4800" w:firstLineChars="1500"/>
              <w:jc w:val="both"/>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公章</w:t>
            </w:r>
          </w:p>
          <w:p>
            <w:pPr>
              <w:jc w:val="both"/>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r>
              <w:rPr>
                <w:rFonts w:hint="eastAsia" w:ascii="仿宋_GB2312" w:hAnsi="仿宋_GB2312" w:eastAsia="仿宋_GB2312" w:cs="仿宋_GB2312"/>
                <w:i w:val="0"/>
                <w:iCs w:val="0"/>
                <w:color w:val="000000"/>
                <w:kern w:val="0"/>
                <w:sz w:val="32"/>
                <w:szCs w:val="32"/>
                <w:highlight w:val="none"/>
                <w:u w:val="none"/>
                <w:lang w:val="en-US" w:eastAsia="zh-CN" w:bidi="ar"/>
              </w:rPr>
              <w:t>日期：</w:t>
            </w:r>
            <w:r>
              <w:rPr>
                <w:rFonts w:hint="eastAsia" w:ascii="仿宋_GB2312" w:hAnsi="仿宋_GB2312" w:eastAsia="仿宋_GB2312" w:cs="仿宋_GB2312"/>
                <w:sz w:val="32"/>
                <w:szCs w:val="32"/>
                <w:highlight w:val="none"/>
                <w:vertAlign w:val="baseline"/>
                <w:lang w:val="en-US" w:eastAsia="zh-CN"/>
              </w:rPr>
              <w:t xml:space="preserve"> </w:t>
            </w:r>
          </w:p>
          <w:p>
            <w:pPr>
              <w:jc w:val="both"/>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tc>
      </w:tr>
    </w:tbl>
    <w:p>
      <w:pPr>
        <w:rPr>
          <w:rFonts w:hint="eastAsia" w:ascii="仿宋_GB2312" w:hAnsi="仿宋" w:eastAsia="仿宋_GB2312" w:cs="仿宋_GB2312"/>
          <w:sz w:val="32"/>
          <w:szCs w:val="32"/>
          <w:highlight w:val="none"/>
          <w:lang w:val="en-US" w:eastAsia="zh-CN" w:bidi="ar"/>
        </w:rPr>
      </w:pPr>
      <w:r>
        <w:rPr>
          <w:rFonts w:hint="eastAsia"/>
          <w:highlight w:val="none"/>
          <w:lang w:val="en-US" w:eastAsia="zh-CN"/>
        </w:rPr>
        <w:br w:type="page"/>
      </w:r>
      <w:r>
        <w:rPr>
          <w:rFonts w:hint="eastAsia" w:ascii="仿宋_GB2312" w:hAnsi="仿宋" w:eastAsia="仿宋_GB2312" w:cs="仿宋_GB2312"/>
          <w:b/>
          <w:bCs/>
          <w:sz w:val="32"/>
          <w:szCs w:val="32"/>
          <w:highlight w:val="none"/>
          <w:lang w:val="en-US" w:eastAsia="zh-CN" w:bidi="ar"/>
        </w:rPr>
        <w:t>附件七：定点医药机构医保信用修复申请书</w:t>
      </w:r>
    </w:p>
    <w:p>
      <w:pPr>
        <w:pStyle w:val="2"/>
        <w:rPr>
          <w:rFonts w:hint="eastAsia"/>
          <w:highlight w:val="none"/>
          <w:lang w:val="en-US" w:eastAsia="zh-CN"/>
        </w:rPr>
      </w:pPr>
    </w:p>
    <w:p>
      <w:pPr>
        <w:pStyle w:val="2"/>
        <w:widowControl/>
        <w:spacing w:line="600" w:lineRule="exact"/>
        <w:ind w:firstLine="0"/>
        <w:jc w:val="center"/>
        <w:rPr>
          <w:rFonts w:hint="eastAsia"/>
          <w:highlight w:val="none"/>
          <w:lang w:val="en-US" w:eastAsia="zh-CN"/>
        </w:rPr>
      </w:pPr>
      <w:r>
        <w:rPr>
          <w:rFonts w:hint="eastAsia" w:ascii="方正小标宋简体" w:hAnsi="方正小标宋简体" w:eastAsia="方正小标宋简体" w:cs="方正小标宋简体"/>
          <w:i w:val="0"/>
          <w:iCs w:val="0"/>
          <w:color w:val="000000"/>
          <w:kern w:val="0"/>
          <w:sz w:val="44"/>
          <w:szCs w:val="44"/>
          <w:highlight w:val="none"/>
          <w:u w:val="none"/>
          <w:lang w:val="en-US" w:eastAsia="zh-CN" w:bidi="ar"/>
        </w:rPr>
        <w:t>定点医药机构医保信用修复申请书</w:t>
      </w:r>
    </w:p>
    <w:tbl>
      <w:tblPr>
        <w:tblStyle w:val="5"/>
        <w:tblpPr w:leftFromText="180" w:rightFromText="180" w:vertAnchor="text" w:horzAnchor="page" w:tblpX="1882" w:tblpY="303"/>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2"/>
        <w:gridCol w:w="1771"/>
        <w:gridCol w:w="2601"/>
        <w:gridCol w:w="1091"/>
        <w:gridCol w:w="2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58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highlight w:val="none"/>
                <w:u w:val="none"/>
                <w:lang w:val="en-US"/>
              </w:rPr>
            </w:pPr>
            <w:r>
              <w:rPr>
                <w:rFonts w:hint="eastAsia" w:ascii="仿宋_GB2312" w:hAnsi="仿宋_GB2312" w:eastAsia="仿宋_GB2312" w:cs="仿宋_GB2312"/>
                <w:i w:val="0"/>
                <w:iCs w:val="0"/>
                <w:color w:val="000000"/>
                <w:kern w:val="0"/>
                <w:sz w:val="32"/>
                <w:szCs w:val="32"/>
                <w:highlight w:val="none"/>
                <w:u w:val="none"/>
                <w:lang w:val="en-US" w:eastAsia="zh-CN" w:bidi="ar"/>
              </w:rPr>
              <w:t>医药机构</w:t>
            </w:r>
          </w:p>
        </w:tc>
        <w:tc>
          <w:tcPr>
            <w:tcW w:w="10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highlight w:val="none"/>
                <w:u w:val="none"/>
              </w:rPr>
            </w:pPr>
            <w:r>
              <w:rPr>
                <w:rFonts w:hint="eastAsia" w:ascii="仿宋_GB2312" w:hAnsi="仿宋_GB2312" w:eastAsia="仿宋_GB2312" w:cs="仿宋_GB2312"/>
                <w:i w:val="0"/>
                <w:iCs w:val="0"/>
                <w:color w:val="000000"/>
                <w:kern w:val="0"/>
                <w:sz w:val="32"/>
                <w:szCs w:val="32"/>
                <w:highlight w:val="none"/>
                <w:u w:val="none"/>
                <w:lang w:val="en-US" w:eastAsia="zh-CN" w:bidi="ar"/>
              </w:rPr>
              <w:t>机构名称</w:t>
            </w:r>
          </w:p>
        </w:tc>
        <w:tc>
          <w:tcPr>
            <w:tcW w:w="3378" w:type="pct"/>
            <w:gridSpan w:val="3"/>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8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32"/>
                <w:szCs w:val="32"/>
                <w:highlight w:val="none"/>
                <w:u w:val="none"/>
              </w:rPr>
            </w:pPr>
          </w:p>
        </w:tc>
        <w:tc>
          <w:tcPr>
            <w:tcW w:w="10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统一社会</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highlight w:val="none"/>
                <w:u w:val="none"/>
              </w:rPr>
            </w:pPr>
            <w:r>
              <w:rPr>
                <w:rFonts w:hint="eastAsia" w:ascii="仿宋_GB2312" w:hAnsi="仿宋_GB2312" w:eastAsia="仿宋_GB2312" w:cs="仿宋_GB2312"/>
                <w:sz w:val="32"/>
                <w:szCs w:val="32"/>
                <w:highlight w:val="none"/>
                <w:vertAlign w:val="baseline"/>
                <w:lang w:val="en-US" w:eastAsia="zh-CN"/>
              </w:rPr>
              <w:t>信用代码</w:t>
            </w:r>
          </w:p>
        </w:tc>
        <w:tc>
          <w:tcPr>
            <w:tcW w:w="15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32"/>
                <w:szCs w:val="32"/>
                <w:highlight w:val="none"/>
                <w:u w:val="none"/>
              </w:rPr>
            </w:pP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32"/>
                <w:szCs w:val="32"/>
                <w:highlight w:val="none"/>
                <w:u w:val="none"/>
              </w:rPr>
            </w:pPr>
            <w:r>
              <w:rPr>
                <w:rFonts w:hint="eastAsia" w:ascii="仿宋_GB2312" w:hAnsi="仿宋_GB2312" w:eastAsia="仿宋_GB2312" w:cs="仿宋_GB2312"/>
                <w:i w:val="0"/>
                <w:iCs w:val="0"/>
                <w:color w:val="000000"/>
                <w:kern w:val="0"/>
                <w:sz w:val="32"/>
                <w:szCs w:val="32"/>
                <w:highlight w:val="none"/>
                <w:u w:val="none"/>
                <w:lang w:val="en-US" w:eastAsia="zh-CN" w:bidi="ar"/>
              </w:rPr>
              <w:t>联系电话</w:t>
            </w:r>
          </w:p>
        </w:tc>
        <w:tc>
          <w:tcPr>
            <w:tcW w:w="121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highlight w:val="none"/>
                <w:u w:val="none"/>
              </w:rPr>
            </w:pPr>
            <w:r>
              <w:rPr>
                <w:rFonts w:hint="eastAsia" w:ascii="仿宋_GB2312" w:hAnsi="仿宋_GB2312" w:eastAsia="仿宋_GB2312" w:cs="仿宋_GB2312"/>
                <w:i w:val="0"/>
                <w:iCs w:val="0"/>
                <w:color w:val="000000"/>
                <w:kern w:val="0"/>
                <w:sz w:val="32"/>
                <w:szCs w:val="32"/>
                <w:highlight w:val="none"/>
                <w:u w:val="none"/>
                <w:lang w:val="en-US" w:eastAsia="zh-CN" w:bidi="ar"/>
              </w:rPr>
              <w:t>不良信用</w:t>
            </w:r>
          </w:p>
        </w:tc>
        <w:tc>
          <w:tcPr>
            <w:tcW w:w="10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highlight w:val="none"/>
                <w:u w:val="none"/>
              </w:rPr>
            </w:pPr>
            <w:r>
              <w:rPr>
                <w:rFonts w:hint="eastAsia" w:ascii="仿宋_GB2312" w:hAnsi="仿宋_GB2312" w:eastAsia="仿宋_GB2312" w:cs="仿宋_GB2312"/>
                <w:i w:val="0"/>
                <w:iCs w:val="0"/>
                <w:color w:val="000000"/>
                <w:kern w:val="0"/>
                <w:sz w:val="32"/>
                <w:szCs w:val="32"/>
                <w:highlight w:val="none"/>
                <w:u w:val="none"/>
                <w:lang w:val="en-US" w:eastAsia="zh-CN" w:bidi="ar"/>
              </w:rPr>
              <w:t>文书号</w:t>
            </w:r>
          </w:p>
        </w:tc>
        <w:tc>
          <w:tcPr>
            <w:tcW w:w="1526" w:type="pct"/>
            <w:tcBorders>
              <w:top w:val="nil"/>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32"/>
                <w:szCs w:val="32"/>
                <w:highlight w:val="none"/>
                <w:u w:val="none"/>
              </w:rPr>
            </w:pPr>
          </w:p>
        </w:tc>
        <w:tc>
          <w:tcPr>
            <w:tcW w:w="64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highlight w:val="none"/>
                <w:u w:val="none"/>
              </w:rPr>
            </w:pPr>
            <w:r>
              <w:rPr>
                <w:rFonts w:hint="eastAsia" w:ascii="仿宋_GB2312" w:hAnsi="仿宋_GB2312" w:eastAsia="仿宋_GB2312" w:cs="仿宋_GB2312"/>
                <w:i w:val="0"/>
                <w:iCs w:val="0"/>
                <w:color w:val="000000"/>
                <w:kern w:val="0"/>
                <w:sz w:val="32"/>
                <w:szCs w:val="32"/>
                <w:highlight w:val="none"/>
                <w:u w:val="none"/>
                <w:lang w:val="en-US" w:eastAsia="zh-CN" w:bidi="ar"/>
              </w:rPr>
              <w:t>时间区间</w:t>
            </w:r>
          </w:p>
        </w:tc>
        <w:tc>
          <w:tcPr>
            <w:tcW w:w="1212" w:type="pct"/>
            <w:tcBorders>
              <w:top w:val="nil"/>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640" w:firstLineChars="200"/>
              <w:jc w:val="left"/>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本单位声明，</w:t>
            </w:r>
            <w:r>
              <w:rPr>
                <w:rFonts w:hint="eastAsia" w:ascii="仿宋_GB2312" w:hAnsi="仿宋" w:eastAsia="仿宋_GB2312" w:cs="仿宋_GB2312"/>
                <w:sz w:val="32"/>
                <w:szCs w:val="32"/>
                <w:highlight w:val="none"/>
                <w:lang w:bidi="ar"/>
              </w:rPr>
              <w:t>已主动纠正失信行为、消除不良影响、履行处理决定</w:t>
            </w:r>
            <w:r>
              <w:rPr>
                <w:rFonts w:hint="eastAsia" w:ascii="仿宋_GB2312" w:hAnsi="仿宋" w:eastAsia="仿宋_GB2312" w:cs="仿宋_GB2312"/>
                <w:sz w:val="32"/>
                <w:szCs w:val="32"/>
                <w:highlight w:val="none"/>
                <w:lang w:eastAsia="zh-CN" w:bidi="ar"/>
              </w:rPr>
              <w:t>，</w:t>
            </w:r>
            <w:r>
              <w:rPr>
                <w:rFonts w:hint="eastAsia" w:ascii="仿宋_GB2312" w:hAnsi="仿宋_GB2312" w:eastAsia="仿宋_GB2312" w:cs="仿宋_GB2312"/>
                <w:i w:val="0"/>
                <w:iCs w:val="0"/>
                <w:color w:val="000000"/>
                <w:kern w:val="0"/>
                <w:sz w:val="32"/>
                <w:szCs w:val="32"/>
                <w:highlight w:val="none"/>
                <w:u w:val="none"/>
                <w:lang w:val="en-US" w:eastAsia="zh-CN" w:bidi="ar"/>
              </w:rPr>
              <w:t>现申请</w:t>
            </w:r>
            <w:r>
              <w:rPr>
                <w:rFonts w:hint="eastAsia" w:ascii="仿宋_GB2312" w:eastAsia="仿宋_GB2312" w:cs="Times New Roman"/>
                <w:color w:val="auto"/>
                <w:sz w:val="32"/>
                <w:szCs w:val="32"/>
                <w:highlight w:val="none"/>
                <w:lang w:val="en-US" w:eastAsia="zh-CN"/>
              </w:rPr>
              <w:t>信用修复，后附整改报告和佐证材料</w:t>
            </w:r>
            <w:r>
              <w:rPr>
                <w:rFonts w:hint="eastAsia" w:ascii="仿宋_GB2312" w:hAnsi="仿宋_GB2312" w:eastAsia="仿宋_GB2312" w:cs="仿宋_GB2312"/>
                <w:i w:val="0"/>
                <w:iCs w:val="0"/>
                <w:color w:val="000000"/>
                <w:kern w:val="0"/>
                <w:sz w:val="32"/>
                <w:szCs w:val="32"/>
                <w:highlight w:val="none"/>
                <w:u w:val="none"/>
                <w:lang w:val="en-US" w:eastAsia="zh-CN" w:bidi="ar"/>
              </w:rPr>
              <w:t>。</w:t>
            </w:r>
          </w:p>
          <w:p>
            <w:pPr>
              <w:pStyle w:val="2"/>
              <w:rPr>
                <w:rFonts w:hint="eastAsia"/>
                <w:highlight w:val="none"/>
                <w:lang w:val="en-US" w:eastAsia="zh-CN"/>
              </w:rPr>
            </w:pPr>
          </w:p>
          <w:p>
            <w:pPr>
              <w:keepNext w:val="0"/>
              <w:keepLines w:val="0"/>
              <w:widowControl/>
              <w:suppressLineNumbers w:val="0"/>
              <w:ind w:firstLine="0" w:firstLineChars="0"/>
              <w:jc w:val="left"/>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 xml:space="preserve">                           公章：</w:t>
            </w:r>
          </w:p>
          <w:p>
            <w:pPr>
              <w:keepNext w:val="0"/>
              <w:keepLines w:val="0"/>
              <w:widowControl/>
              <w:suppressLineNumbers w:val="0"/>
              <w:jc w:val="left"/>
              <w:textAlignment w:val="center"/>
              <w:rPr>
                <w:rFonts w:hint="default" w:ascii="仿宋_GB2312" w:hAnsi="仿宋_GB2312" w:eastAsia="仿宋_GB2312" w:cs="仿宋_GB2312"/>
                <w:i w:val="0"/>
                <w:iCs w:val="0"/>
                <w:color w:val="000000"/>
                <w:sz w:val="32"/>
                <w:szCs w:val="32"/>
                <w:highlight w:val="none"/>
                <w:u w:val="none"/>
                <w:lang w:val="en-US"/>
              </w:rPr>
            </w:pPr>
            <w:r>
              <w:rPr>
                <w:rFonts w:hint="eastAsia" w:ascii="仿宋_GB2312" w:hAnsi="仿宋_GB2312" w:eastAsia="仿宋_GB2312" w:cs="仿宋_GB2312"/>
                <w:i w:val="0"/>
                <w:iCs w:val="0"/>
                <w:color w:val="000000"/>
                <w:kern w:val="0"/>
                <w:sz w:val="32"/>
                <w:szCs w:val="32"/>
                <w:highlight w:val="none"/>
                <w:u w:val="none"/>
                <w:lang w:val="en-US" w:eastAsia="zh-CN" w:bidi="ar"/>
              </w:rPr>
              <w:t xml:space="preserve">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经办机构意见：</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 xml:space="preserve">               </w:t>
            </w:r>
          </w:p>
          <w:p>
            <w:pPr>
              <w:keepNext w:val="0"/>
              <w:keepLines w:val="0"/>
              <w:widowControl/>
              <w:suppressLineNumbers w:val="0"/>
              <w:ind w:firstLine="0" w:firstLineChars="0"/>
              <w:jc w:val="both"/>
              <w:textAlignment w:val="center"/>
              <w:rPr>
                <w:rFonts w:hint="default"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 xml:space="preserve">                           公章</w:t>
            </w:r>
          </w:p>
          <w:p>
            <w:pPr>
              <w:keepNext w:val="0"/>
              <w:keepLines w:val="0"/>
              <w:widowControl/>
              <w:suppressLineNumbers w:val="0"/>
              <w:ind w:firstLine="0" w:firstLineChars="0"/>
              <w:jc w:val="both"/>
              <w:textAlignment w:val="center"/>
              <w:rPr>
                <w:rFonts w:hint="default"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 xml:space="preserve">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000" w:type="pct"/>
            <w:gridSpan w:val="5"/>
            <w:tcBorders>
              <w:top w:val="nil"/>
              <w:left w:val="nil"/>
              <w:bottom w:val="nil"/>
              <w:right w:val="nil"/>
            </w:tcBorders>
            <w:noWrap w:val="0"/>
            <w:vAlign w:val="center"/>
          </w:tcPr>
          <w:p>
            <w:pPr>
              <w:pStyle w:val="2"/>
              <w:widowControl/>
              <w:spacing w:beforeLines="0" w:after="0" w:afterLines="0" w:line="560" w:lineRule="exact"/>
              <w:ind w:firstLine="0" w:firstLineChars="0"/>
              <w:jc w:val="left"/>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本文书一式两份，经办机构留存一份，医药机构留存一份。</w:t>
            </w:r>
          </w:p>
        </w:tc>
      </w:tr>
    </w:tbl>
    <w:p>
      <w:pPr>
        <w:pStyle w:val="2"/>
        <w:rPr>
          <w:rFonts w:hint="eastAsia"/>
          <w:highlight w:val="none"/>
          <w:lang w:val="en-US" w:eastAsia="zh-CN"/>
        </w:rPr>
      </w:pPr>
    </w:p>
    <w:p>
      <w:pPr>
        <w:pStyle w:val="2"/>
        <w:rPr>
          <w:rFonts w:hint="eastAsia" w:ascii="仿宋_GB2312" w:hAnsi="仿宋" w:eastAsia="仿宋_GB2312" w:cs="仿宋_GB2312"/>
          <w:b/>
          <w:bCs/>
          <w:sz w:val="32"/>
          <w:szCs w:val="32"/>
          <w:highlight w:val="none"/>
          <w:lang w:val="en-US" w:eastAsia="zh-CN" w:bidi="ar"/>
        </w:rPr>
      </w:pPr>
      <w:r>
        <w:rPr>
          <w:rFonts w:hint="eastAsia" w:ascii="仿宋_GB2312" w:hAnsi="仿宋" w:eastAsia="仿宋_GB2312" w:cs="仿宋_GB2312"/>
          <w:b/>
          <w:bCs/>
          <w:sz w:val="32"/>
          <w:szCs w:val="32"/>
          <w:highlight w:val="none"/>
          <w:lang w:val="en-US" w:eastAsia="zh-CN" w:bidi="ar"/>
        </w:rPr>
        <w:t>附件八：定点医药机构医保信用修复告知书</w:t>
      </w:r>
    </w:p>
    <w:p>
      <w:pPr>
        <w:jc w:val="center"/>
        <w:rPr>
          <w:rFonts w:hint="eastAsia"/>
          <w:highlight w:val="none"/>
          <w:lang w:val="en-US" w:eastAsia="zh-CN"/>
        </w:rPr>
      </w:pPr>
      <w:r>
        <w:rPr>
          <w:rFonts w:hint="eastAsia" w:ascii="方正小标宋简体" w:hAnsi="方正小标宋简体" w:eastAsia="方正小标宋简体" w:cs="方正小标宋简体"/>
          <w:i w:val="0"/>
          <w:iCs w:val="0"/>
          <w:color w:val="000000"/>
          <w:kern w:val="0"/>
          <w:sz w:val="44"/>
          <w:szCs w:val="44"/>
          <w:highlight w:val="none"/>
          <w:u w:val="none"/>
          <w:lang w:val="en-US" w:eastAsia="zh-CN" w:bidi="ar"/>
        </w:rPr>
        <w:t>定点医药机构医保信用修复告知书</w:t>
      </w:r>
    </w:p>
    <w:tbl>
      <w:tblPr>
        <w:tblStyle w:val="5"/>
        <w:tblpPr w:leftFromText="180" w:rightFromText="180" w:vertAnchor="text" w:horzAnchor="page" w:tblpX="1882" w:tblpY="303"/>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2"/>
        <w:gridCol w:w="1771"/>
        <w:gridCol w:w="5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58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highlight w:val="none"/>
                <w:u w:val="none"/>
                <w:lang w:val="en-US"/>
              </w:rPr>
            </w:pPr>
            <w:r>
              <w:rPr>
                <w:rFonts w:hint="eastAsia" w:ascii="仿宋_GB2312" w:hAnsi="仿宋_GB2312" w:eastAsia="仿宋_GB2312" w:cs="仿宋_GB2312"/>
                <w:i w:val="0"/>
                <w:iCs w:val="0"/>
                <w:color w:val="000000"/>
                <w:kern w:val="0"/>
                <w:sz w:val="32"/>
                <w:szCs w:val="32"/>
                <w:highlight w:val="none"/>
                <w:u w:val="none"/>
                <w:lang w:val="en-US" w:eastAsia="zh-CN" w:bidi="ar"/>
              </w:rPr>
              <w:t>医药机构</w:t>
            </w:r>
          </w:p>
        </w:tc>
        <w:tc>
          <w:tcPr>
            <w:tcW w:w="10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highlight w:val="none"/>
                <w:u w:val="none"/>
              </w:rPr>
            </w:pPr>
            <w:r>
              <w:rPr>
                <w:rFonts w:hint="eastAsia" w:ascii="仿宋_GB2312" w:hAnsi="仿宋_GB2312" w:eastAsia="仿宋_GB2312" w:cs="仿宋_GB2312"/>
                <w:i w:val="0"/>
                <w:iCs w:val="0"/>
                <w:color w:val="000000"/>
                <w:kern w:val="0"/>
                <w:sz w:val="32"/>
                <w:szCs w:val="32"/>
                <w:highlight w:val="none"/>
                <w:u w:val="none"/>
                <w:lang w:val="en-US" w:eastAsia="zh-CN" w:bidi="ar"/>
              </w:rPr>
              <w:t>机构名称</w:t>
            </w:r>
          </w:p>
        </w:tc>
        <w:tc>
          <w:tcPr>
            <w:tcW w:w="3378" w:type="pct"/>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58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32"/>
                <w:szCs w:val="32"/>
                <w:highlight w:val="none"/>
                <w:u w:val="none"/>
              </w:rPr>
            </w:pPr>
          </w:p>
        </w:tc>
        <w:tc>
          <w:tcPr>
            <w:tcW w:w="10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统一社会</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highlight w:val="none"/>
                <w:u w:val="none"/>
              </w:rPr>
            </w:pPr>
            <w:r>
              <w:rPr>
                <w:rFonts w:hint="eastAsia" w:ascii="仿宋_GB2312" w:hAnsi="仿宋_GB2312" w:eastAsia="仿宋_GB2312" w:cs="仿宋_GB2312"/>
                <w:sz w:val="32"/>
                <w:szCs w:val="32"/>
                <w:highlight w:val="none"/>
                <w:vertAlign w:val="baseline"/>
                <w:lang w:val="en-US" w:eastAsia="zh-CN"/>
              </w:rPr>
              <w:t>信用代码</w:t>
            </w:r>
          </w:p>
        </w:tc>
        <w:tc>
          <w:tcPr>
            <w:tcW w:w="33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640" w:firstLineChars="200"/>
              <w:jc w:val="left"/>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你单位申请的（文书号</w:t>
            </w:r>
            <w:r>
              <w:rPr>
                <w:rFonts w:hint="eastAsia" w:ascii="仿宋_GB2312" w:hAnsi="仿宋_GB2312" w:eastAsia="仿宋_GB2312" w:cs="仿宋_GB2312"/>
                <w:i w:val="0"/>
                <w:iCs w:val="0"/>
                <w:color w:val="000000"/>
                <w:kern w:val="0"/>
                <w:sz w:val="32"/>
                <w:szCs w:val="32"/>
                <w:highlight w:val="none"/>
                <w:u w:val="single"/>
                <w:lang w:val="en-US" w:eastAsia="zh-CN" w:bidi="ar"/>
              </w:rPr>
              <w:t xml:space="preserve">                </w:t>
            </w:r>
            <w:r>
              <w:rPr>
                <w:rFonts w:hint="eastAsia" w:ascii="仿宋_GB2312" w:hAnsi="仿宋_GB2312" w:eastAsia="仿宋_GB2312" w:cs="仿宋_GB2312"/>
                <w:i w:val="0"/>
                <w:iCs w:val="0"/>
                <w:color w:val="000000"/>
                <w:kern w:val="0"/>
                <w:sz w:val="32"/>
                <w:szCs w:val="32"/>
                <w:highlight w:val="none"/>
                <w:u w:val="none"/>
                <w:lang w:val="en-US" w:eastAsia="zh-CN" w:bidi="ar"/>
              </w:rPr>
              <w:t>）信用修复申请现已完成认定，修复结果为</w:t>
            </w:r>
            <w:r>
              <w:rPr>
                <w:rFonts w:hint="eastAsia" w:ascii="仿宋_GB2312" w:hAnsi="仿宋_GB2312" w:eastAsia="仿宋_GB2312" w:cs="仿宋_GB2312"/>
                <w:i w:val="0"/>
                <w:iCs w:val="0"/>
                <w:color w:val="000000"/>
                <w:kern w:val="0"/>
                <w:sz w:val="32"/>
                <w:szCs w:val="32"/>
                <w:highlight w:val="none"/>
                <w:u w:val="single"/>
                <w:lang w:val="en-US" w:eastAsia="zh-CN" w:bidi="ar"/>
              </w:rPr>
              <w:t xml:space="preserve">  通过/未通过  </w:t>
            </w:r>
            <w:r>
              <w:rPr>
                <w:rFonts w:hint="eastAsia" w:ascii="仿宋_GB2312" w:hAnsi="仿宋_GB2312" w:eastAsia="仿宋_GB2312" w:cs="仿宋_GB2312"/>
                <w:i w:val="0"/>
                <w:iCs w:val="0"/>
                <w:color w:val="000000"/>
                <w:kern w:val="0"/>
                <w:sz w:val="32"/>
                <w:szCs w:val="32"/>
                <w:highlight w:val="none"/>
                <w:u w:val="none"/>
                <w:lang w:val="en-US" w:eastAsia="zh-CN" w:bidi="ar"/>
              </w:rPr>
              <w:t>，特此告知。</w:t>
            </w:r>
          </w:p>
          <w:p>
            <w:pPr>
              <w:pStyle w:val="2"/>
              <w:rPr>
                <w:rFonts w:hint="eastAsia"/>
                <w:highlight w:val="none"/>
                <w:lang w:val="en-US" w:eastAsia="zh-CN"/>
              </w:rPr>
            </w:pPr>
          </w:p>
          <w:p>
            <w:pPr>
              <w:keepNext w:val="0"/>
              <w:keepLines w:val="0"/>
              <w:widowControl/>
              <w:suppressLineNumbers w:val="0"/>
              <w:ind w:firstLine="0" w:firstLineChars="0"/>
              <w:jc w:val="left"/>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 xml:space="preserve">                           公章：</w:t>
            </w:r>
          </w:p>
          <w:p>
            <w:pPr>
              <w:keepNext w:val="0"/>
              <w:keepLines w:val="0"/>
              <w:widowControl/>
              <w:suppressLineNumbers w:val="0"/>
              <w:jc w:val="left"/>
              <w:textAlignment w:val="center"/>
              <w:rPr>
                <w:rFonts w:hint="default" w:ascii="仿宋_GB2312" w:hAnsi="仿宋_GB2312" w:eastAsia="仿宋_GB2312" w:cs="仿宋_GB2312"/>
                <w:i w:val="0"/>
                <w:iCs w:val="0"/>
                <w:color w:val="000000"/>
                <w:sz w:val="32"/>
                <w:szCs w:val="32"/>
                <w:highlight w:val="none"/>
                <w:u w:val="none"/>
                <w:lang w:val="en-US"/>
              </w:rPr>
            </w:pPr>
            <w:r>
              <w:rPr>
                <w:rFonts w:hint="eastAsia" w:ascii="仿宋_GB2312" w:hAnsi="仿宋_GB2312" w:eastAsia="仿宋_GB2312" w:cs="仿宋_GB2312"/>
                <w:i w:val="0"/>
                <w:iCs w:val="0"/>
                <w:color w:val="000000"/>
                <w:kern w:val="0"/>
                <w:sz w:val="32"/>
                <w:szCs w:val="32"/>
                <w:highlight w:val="none"/>
                <w:u w:val="none"/>
                <w:lang w:val="en-US" w:eastAsia="zh-CN" w:bidi="ar"/>
              </w:rPr>
              <w:t xml:space="preserve">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500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00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000" w:type="pct"/>
            <w:gridSpan w:val="3"/>
            <w:tcBorders>
              <w:top w:val="nil"/>
              <w:left w:val="nil"/>
              <w:bottom w:val="nil"/>
              <w:right w:val="nil"/>
            </w:tcBorders>
            <w:noWrap w:val="0"/>
            <w:vAlign w:val="center"/>
          </w:tcPr>
          <w:p>
            <w:pPr>
              <w:pStyle w:val="2"/>
              <w:widowControl/>
              <w:spacing w:beforeLines="0" w:after="0" w:afterLines="0" w:line="560" w:lineRule="exact"/>
              <w:ind w:firstLine="0" w:firstLineChars="0"/>
              <w:jc w:val="left"/>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本文书一式两份，经办机构留存一份，医药机构留存一份。</w:t>
            </w:r>
          </w:p>
        </w:tc>
      </w:tr>
    </w:tbl>
    <w:p>
      <w:pPr>
        <w:rPr>
          <w:rFonts w:hint="eastAsia"/>
          <w:highlight w:val="none"/>
          <w:lang w:val="en-US" w:eastAsia="zh-CN"/>
        </w:rPr>
      </w:pPr>
    </w:p>
    <w:p>
      <w:pPr>
        <w:pStyle w:val="2"/>
        <w:rPr>
          <w:rFonts w:hint="default"/>
          <w:highlight w:val="none"/>
          <w:lang w:val="en-US" w:eastAsia="zh-CN"/>
        </w:rPr>
      </w:pPr>
    </w:p>
    <w:p/>
    <w:p>
      <w:pPr>
        <w:pStyle w:val="2"/>
        <w:rPr>
          <w:rFonts w:hint="eastAsia"/>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script"/>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qNJ8jRAAAAAgEAAA8AAAAAAAAAAQAgAAAAIgAAAGRy&#10;cy9kb3ducmV2LnhtbFBLAQIUABQAAAAIAIdO4kD2aHXo0wEAAKQDAAAOAAAAAAAAAAEAIAAAACAB&#10;AABkcnMvZTJvRG9jLnhtbFBLBQYAAAAABgAGAFkBAABl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MjIyN2VjZThjZWU5ZTI3MWE3MTQwYzczMDI3MmEifQ=="/>
  </w:docVars>
  <w:rsids>
    <w:rsidRoot w:val="3E7BE0B8"/>
    <w:rsid w:val="02D82023"/>
    <w:rsid w:val="0A234580"/>
    <w:rsid w:val="1F6EE0E5"/>
    <w:rsid w:val="1FD3C082"/>
    <w:rsid w:val="23F6D647"/>
    <w:rsid w:val="2F2DC3B2"/>
    <w:rsid w:val="33FE081B"/>
    <w:rsid w:val="358780AC"/>
    <w:rsid w:val="377B17F0"/>
    <w:rsid w:val="3787223E"/>
    <w:rsid w:val="3B7CCEAE"/>
    <w:rsid w:val="3BBD6F8A"/>
    <w:rsid w:val="3E7BE0B8"/>
    <w:rsid w:val="3FD72907"/>
    <w:rsid w:val="3FEFFE39"/>
    <w:rsid w:val="3FFB6AB2"/>
    <w:rsid w:val="422D6F1A"/>
    <w:rsid w:val="47BB670E"/>
    <w:rsid w:val="47F7A2EA"/>
    <w:rsid w:val="48025259"/>
    <w:rsid w:val="48FDB4FB"/>
    <w:rsid w:val="4AFEB4E6"/>
    <w:rsid w:val="4DD6D7FD"/>
    <w:rsid w:val="4E5BD460"/>
    <w:rsid w:val="55E930A8"/>
    <w:rsid w:val="57EF0452"/>
    <w:rsid w:val="5AEF9179"/>
    <w:rsid w:val="5E3B1458"/>
    <w:rsid w:val="5F2FBA3A"/>
    <w:rsid w:val="5F7ACBE0"/>
    <w:rsid w:val="5F7F18A2"/>
    <w:rsid w:val="5FDB4870"/>
    <w:rsid w:val="61563D6F"/>
    <w:rsid w:val="62571764"/>
    <w:rsid w:val="63F3EB6D"/>
    <w:rsid w:val="660F08B2"/>
    <w:rsid w:val="6997A5E5"/>
    <w:rsid w:val="6BAB27E6"/>
    <w:rsid w:val="6C6177C7"/>
    <w:rsid w:val="6F7C08FF"/>
    <w:rsid w:val="6FFE40DF"/>
    <w:rsid w:val="73FB1999"/>
    <w:rsid w:val="755BB03D"/>
    <w:rsid w:val="76414206"/>
    <w:rsid w:val="76C5FAD3"/>
    <w:rsid w:val="777F5CE2"/>
    <w:rsid w:val="77BFE959"/>
    <w:rsid w:val="79FF5F8C"/>
    <w:rsid w:val="7ABD80EE"/>
    <w:rsid w:val="7AF66E43"/>
    <w:rsid w:val="7AFB3CCE"/>
    <w:rsid w:val="7B350709"/>
    <w:rsid w:val="7B7BEE38"/>
    <w:rsid w:val="7BF93E74"/>
    <w:rsid w:val="7BFF86A1"/>
    <w:rsid w:val="7CCBCEAD"/>
    <w:rsid w:val="7DFBAEBB"/>
    <w:rsid w:val="7ECF08A3"/>
    <w:rsid w:val="7F7DD042"/>
    <w:rsid w:val="7F7EFF80"/>
    <w:rsid w:val="7FBB79BC"/>
    <w:rsid w:val="7FEB1068"/>
    <w:rsid w:val="7FF3BDF2"/>
    <w:rsid w:val="7FFEC534"/>
    <w:rsid w:val="9547484C"/>
    <w:rsid w:val="A779A519"/>
    <w:rsid w:val="AAF37111"/>
    <w:rsid w:val="AEF72885"/>
    <w:rsid w:val="AF8A082F"/>
    <w:rsid w:val="B3E4B027"/>
    <w:rsid w:val="B97FDE72"/>
    <w:rsid w:val="B9F72FF1"/>
    <w:rsid w:val="BA7F9765"/>
    <w:rsid w:val="BF8B052F"/>
    <w:rsid w:val="BFFB896C"/>
    <w:rsid w:val="BFFD9B1B"/>
    <w:rsid w:val="CDDB4EEC"/>
    <w:rsid w:val="CFDF06C5"/>
    <w:rsid w:val="D16F05BA"/>
    <w:rsid w:val="D3FF2C0B"/>
    <w:rsid w:val="D7FF5FAC"/>
    <w:rsid w:val="DABB310C"/>
    <w:rsid w:val="DADB826B"/>
    <w:rsid w:val="DBFF59D5"/>
    <w:rsid w:val="DD296A25"/>
    <w:rsid w:val="DDFFD4F3"/>
    <w:rsid w:val="DFFDDE37"/>
    <w:rsid w:val="E7EF3856"/>
    <w:rsid w:val="E906C74F"/>
    <w:rsid w:val="EBAD1F39"/>
    <w:rsid w:val="EE6A5527"/>
    <w:rsid w:val="EECD74CB"/>
    <w:rsid w:val="EFFC8C02"/>
    <w:rsid w:val="EFFFAA00"/>
    <w:rsid w:val="F1BEA98C"/>
    <w:rsid w:val="F2EB7D2A"/>
    <w:rsid w:val="F349A5E5"/>
    <w:rsid w:val="F3FBB587"/>
    <w:rsid w:val="F6B607F7"/>
    <w:rsid w:val="F72FB84B"/>
    <w:rsid w:val="F7377475"/>
    <w:rsid w:val="F7BF25BD"/>
    <w:rsid w:val="F7F617D6"/>
    <w:rsid w:val="F98B8D5A"/>
    <w:rsid w:val="F9F52DF6"/>
    <w:rsid w:val="FB839756"/>
    <w:rsid w:val="FBFF25BF"/>
    <w:rsid w:val="FD39D35E"/>
    <w:rsid w:val="FD4E0467"/>
    <w:rsid w:val="FDBF8A1B"/>
    <w:rsid w:val="FDBF9660"/>
    <w:rsid w:val="FEB4105D"/>
    <w:rsid w:val="FEB77C07"/>
    <w:rsid w:val="FEFFAD62"/>
    <w:rsid w:val="FF9F20DD"/>
    <w:rsid w:val="FFAF99ED"/>
    <w:rsid w:val="FFBBEAD0"/>
    <w:rsid w:val="FFBF4DBD"/>
    <w:rsid w:val="FFD319DF"/>
    <w:rsid w:val="FFEAE7CC"/>
    <w:rsid w:val="FFEDFF10"/>
    <w:rsid w:val="FFEF1EA6"/>
    <w:rsid w:val="FFEFA4AC"/>
    <w:rsid w:val="FFFBB2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next w:val="1"/>
    <w:unhideWhenUsed/>
    <w:qFormat/>
    <w:uiPriority w:val="99"/>
    <w:pPr>
      <w:spacing w:after="120" w:line="240" w:lineRule="auto"/>
      <w:ind w:firstLine="0" w:firstLineChars="0"/>
      <w:jc w:val="both"/>
    </w:pPr>
    <w:rPr>
      <w:rFonts w:ascii="Calibri" w:hAnsi="Calibri" w:eastAsia="宋体" w:cs="Times New Roman"/>
      <w:kern w:val="0"/>
      <w:sz w:val="20"/>
      <w:szCs w:val="20"/>
    </w:rPr>
  </w:style>
  <w:style w:type="paragraph" w:styleId="3">
    <w:name w:val="footer"/>
    <w:basedOn w:val="1"/>
    <w:unhideWhenUsed/>
    <w:qFormat/>
    <w:uiPriority w:val="0"/>
    <w:pPr>
      <w:tabs>
        <w:tab w:val="center" w:pos="4153"/>
        <w:tab w:val="right" w:pos="8306"/>
      </w:tabs>
      <w:snapToGrid w:val="0"/>
      <w:jc w:val="left"/>
    </w:pPr>
    <w:rPr>
      <w:rFonts w:ascii="Times New Roman" w:hAnsi="Times New Roman" w:eastAsia="宋体" w:cs="Times New Roman"/>
      <w:sz w:val="18"/>
      <w:szCs w:val="20"/>
    </w:rPr>
  </w:style>
  <w:style w:type="paragraph" w:styleId="4">
    <w:name w:val="Normal (Web)"/>
    <w:basedOn w:val="1"/>
    <w:unhideWhenUsed/>
    <w:qFormat/>
    <w:uiPriority w:val="99"/>
    <w:pPr>
      <w:spacing w:after="150"/>
      <w:jc w:val="left"/>
    </w:pPr>
    <w:rPr>
      <w:rFonts w:ascii="Times New Roman" w:hAnsi="Times New Roman" w:eastAsia="宋体" w:cs="Times New Roman"/>
      <w:kern w:val="0"/>
      <w:sz w:val="24"/>
      <w:szCs w:val="20"/>
    </w:rPr>
  </w:style>
  <w:style w:type="table" w:styleId="6">
    <w:name w:val="Table Grid"/>
    <w:basedOn w:val="5"/>
    <w:unhideWhenUsed/>
    <w:qFormat/>
    <w:uiPriority w:val="99"/>
    <w:rPr>
      <w:rFonts w:ascii="Times New Roman" w:hAnsi="Times New Roman" w:eastAsia="宋体" w:cs="Times New Roman"/>
      <w:kern w:val="0"/>
      <w:sz w:val="20"/>
      <w:szCs w:val="20"/>
    </w:rPr>
    <w:tblPr>
      <w:tblStyle w:val="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fontstyle01"/>
    <w:basedOn w:val="7"/>
    <w:qFormat/>
    <w:uiPriority w:val="0"/>
    <w:rPr>
      <w:rFonts w:hint="eastAsia" w:ascii="仿宋_GB2312" w:hAnsi="仿宋_GB2312" w:eastAsia="仿宋_GB2312"/>
      <w:color w:val="000000"/>
      <w:sz w:val="32"/>
      <w:szCs w:val="32"/>
    </w:rPr>
  </w:style>
  <w:style w:type="character" w:customStyle="1" w:styleId="9">
    <w:name w:val="font21"/>
    <w:basedOn w:val="7"/>
    <w:qFormat/>
    <w:uiPriority w:val="0"/>
    <w:rPr>
      <w:rFonts w:hint="eastAsia" w:ascii="宋体" w:hAnsi="宋体" w:eastAsia="宋体" w:cs="宋体"/>
      <w:color w:val="000000"/>
      <w:sz w:val="28"/>
      <w:szCs w:val="28"/>
      <w:u w:val="none"/>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31"/>
    <w:basedOn w:val="7"/>
    <w:qFormat/>
    <w:uiPriority w:val="0"/>
    <w:rPr>
      <w:rFonts w:hint="eastAsia" w:ascii="黑体" w:hAnsi="宋体" w:eastAsia="黑体" w:cs="黑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15202</Words>
  <Characters>15632</Characters>
  <Lines>0</Lines>
  <Paragraphs>0</Paragraphs>
  <TotalTime>6</TotalTime>
  <ScaleCrop>false</ScaleCrop>
  <LinksUpToDate>false</LinksUpToDate>
  <CharactersWithSpaces>16278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2022-11-04T09:22:00Z</dcterms:created>
  <dc:creator>user</dc:creator>
  <cp:lastModifiedBy>星邪影月</cp:lastModifiedBy>
  <dcterms:modified xsi:type="dcterms:W3CDTF">2022-11-09T11:53:12Z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88CA0B95009A44D5BFD90A2AEEBEDA9F</vt:lpwstr>
  </property>
</Properties>
</file>