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仿宋" w:eastAsia="方正小标宋简体" w:cs="方正小标宋_GBK"/>
          <w:kern w:val="0"/>
          <w:sz w:val="44"/>
          <w:szCs w:val="44"/>
          <w:highlight w:val="none"/>
        </w:rPr>
      </w:pPr>
    </w:p>
    <w:p>
      <w:pPr>
        <w:widowControl/>
        <w:spacing w:line="600" w:lineRule="exact"/>
        <w:jc w:val="center"/>
        <w:rPr>
          <w:rFonts w:hint="eastAsia" w:ascii="方正小标宋简体" w:hAnsi="仿宋" w:eastAsia="方正小标宋简体" w:cs="方正小标宋_GBK"/>
          <w:kern w:val="0"/>
          <w:sz w:val="44"/>
          <w:szCs w:val="44"/>
          <w:highlight w:val="none"/>
        </w:rPr>
      </w:pPr>
      <w:r>
        <w:rPr>
          <w:rFonts w:hint="eastAsia" w:ascii="方正小标宋简体" w:hAnsi="仿宋" w:eastAsia="方正小标宋简体" w:cs="方正小标宋_GBK"/>
          <w:kern w:val="0"/>
          <w:sz w:val="44"/>
          <w:szCs w:val="44"/>
          <w:highlight w:val="none"/>
        </w:rPr>
        <w:t>山东省定点医药机构医保信用</w:t>
      </w:r>
      <w:r>
        <w:rPr>
          <w:rFonts w:ascii="方正小标宋简体" w:hAnsi="仿宋" w:eastAsia="方正小标宋简体" w:cs="方正小标宋_GBK"/>
          <w:kern w:val="0"/>
          <w:sz w:val="44"/>
          <w:szCs w:val="44"/>
          <w:highlight w:val="none"/>
        </w:rPr>
        <w:t>评价</w:t>
      </w:r>
      <w:r>
        <w:rPr>
          <w:rFonts w:hint="eastAsia" w:ascii="方正小标宋简体" w:hAnsi="仿宋" w:eastAsia="方正小标宋简体" w:cs="方正小标宋_GBK"/>
          <w:kern w:val="0"/>
          <w:sz w:val="44"/>
          <w:szCs w:val="44"/>
          <w:highlight w:val="none"/>
        </w:rPr>
        <w:t>办法</w:t>
      </w:r>
    </w:p>
    <w:p>
      <w:pPr>
        <w:widowControl/>
        <w:spacing w:line="600" w:lineRule="exact"/>
        <w:jc w:val="center"/>
        <w:rPr>
          <w:rFonts w:hint="eastAsia" w:ascii="方正楷体_GBK" w:hAnsi="方正楷体_GBK" w:eastAsia="方正楷体_GBK" w:cs="方正楷体_GBK"/>
          <w:kern w:val="0"/>
          <w:sz w:val="32"/>
          <w:szCs w:val="32"/>
          <w:highlight w:val="none"/>
        </w:rPr>
      </w:pPr>
      <w:r>
        <w:rPr>
          <w:rFonts w:hint="eastAsia" w:ascii="方正楷体_GBK" w:hAnsi="方正楷体_GBK" w:eastAsia="方正楷体_GBK" w:cs="方正楷体_GBK"/>
          <w:kern w:val="0"/>
          <w:sz w:val="32"/>
          <w:szCs w:val="32"/>
          <w:highlight w:val="none"/>
        </w:rPr>
        <w:t>（</w:t>
      </w:r>
      <w:r>
        <w:rPr>
          <w:rFonts w:hint="eastAsia" w:ascii="方正楷体_GBK" w:hAnsi="方正楷体_GBK" w:eastAsia="方正楷体_GBK" w:cs="方正楷体_GBK"/>
          <w:kern w:val="0"/>
          <w:sz w:val="32"/>
          <w:szCs w:val="32"/>
          <w:highlight w:val="none"/>
          <w:lang w:eastAsia="zh-CN"/>
        </w:rPr>
        <w:t>征求意见稿</w:t>
      </w:r>
      <w:r>
        <w:rPr>
          <w:rFonts w:hint="eastAsia" w:ascii="方正楷体_GBK" w:hAnsi="方正楷体_GBK" w:eastAsia="方正楷体_GBK" w:cs="方正楷体_GBK"/>
          <w:kern w:val="0"/>
          <w:sz w:val="32"/>
          <w:szCs w:val="32"/>
          <w:highlight w:val="none"/>
        </w:rPr>
        <w:t>）</w:t>
      </w:r>
    </w:p>
    <w:p>
      <w:pPr>
        <w:widowControl/>
        <w:spacing w:line="600" w:lineRule="exact"/>
        <w:rPr>
          <w:rFonts w:ascii="仿宋" w:hAnsi="仿宋" w:eastAsia="仿宋" w:cs="黑体"/>
          <w:kern w:val="0"/>
          <w:sz w:val="32"/>
          <w:szCs w:val="32"/>
          <w:highlight w:val="none"/>
        </w:rPr>
      </w:pPr>
      <w:r>
        <w:rPr>
          <w:rFonts w:hint="eastAsia" w:ascii="仿宋" w:hAnsi="仿宋" w:eastAsia="仿宋"/>
          <w:kern w:val="0"/>
          <w:sz w:val="32"/>
          <w:szCs w:val="32"/>
          <w:highlight w:val="none"/>
        </w:rPr>
        <w:t>　</w:t>
      </w:r>
      <w:r>
        <w:rPr>
          <w:rFonts w:hint="eastAsia" w:ascii="仿宋" w:hAnsi="仿宋" w:eastAsia="仿宋" w:cs="黑体"/>
          <w:kern w:val="0"/>
          <w:sz w:val="32"/>
          <w:szCs w:val="32"/>
          <w:highlight w:val="none"/>
        </w:rPr>
        <w:t>　</w:t>
      </w:r>
    </w:p>
    <w:p>
      <w:pPr>
        <w:widowControl/>
        <w:spacing w:line="600" w:lineRule="exact"/>
        <w:jc w:val="center"/>
        <w:rPr>
          <w:rFonts w:hint="eastAsia" w:ascii="黑体" w:hAnsi="黑体" w:eastAsia="黑体"/>
          <w:kern w:val="0"/>
          <w:sz w:val="32"/>
          <w:szCs w:val="32"/>
          <w:highlight w:val="none"/>
        </w:rPr>
      </w:pPr>
      <w:r>
        <w:rPr>
          <w:rFonts w:hint="eastAsia" w:ascii="黑体" w:hAnsi="黑体" w:eastAsia="黑体" w:cs="黑体"/>
          <w:kern w:val="0"/>
          <w:sz w:val="32"/>
          <w:szCs w:val="32"/>
          <w:highlight w:val="none"/>
        </w:rPr>
        <w:t>第一章　总</w:t>
      </w:r>
      <w:r>
        <w:rPr>
          <w:rFonts w:hint="eastAsia" w:ascii="Calibri" w:hAnsi="Calibri" w:eastAsia="黑体" w:cs="Calibri"/>
          <w:kern w:val="0"/>
          <w:sz w:val="32"/>
          <w:szCs w:val="32"/>
          <w:highlight w:val="none"/>
        </w:rPr>
        <w:t xml:space="preserve">  </w:t>
      </w:r>
      <w:r>
        <w:rPr>
          <w:rFonts w:hint="eastAsia" w:ascii="黑体" w:hAnsi="黑体" w:eastAsia="黑体" w:cs="黑体"/>
          <w:kern w:val="0"/>
          <w:sz w:val="32"/>
          <w:szCs w:val="32"/>
          <w:highlight w:val="none"/>
        </w:rPr>
        <w:t>则</w:t>
      </w:r>
    </w:p>
    <w:p>
      <w:pPr>
        <w:widowControl/>
        <w:spacing w:line="600" w:lineRule="exact"/>
        <w:ind w:firstLine="630"/>
        <w:rPr>
          <w:rFonts w:hint="eastAsia" w:ascii="楷体_GB2312" w:hAnsi="仿宋_GB2312" w:eastAsia="楷体_GB2312"/>
          <w:sz w:val="32"/>
          <w:szCs w:val="32"/>
          <w:highlight w:val="none"/>
        </w:rPr>
      </w:pP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第一条</w:t>
      </w:r>
      <w:r>
        <w:rPr>
          <w:rFonts w:ascii="Times New Roman" w:hAnsi="Times New Roman" w:eastAsia="仿宋_GB2312"/>
          <w:sz w:val="32"/>
          <w:szCs w:val="32"/>
          <w:highlight w:val="none"/>
          <w:lang w:bidi="ar"/>
        </w:rPr>
        <w:t xml:space="preserve"> 为</w:t>
      </w:r>
      <w:r>
        <w:rPr>
          <w:rFonts w:hint="eastAsia" w:ascii="Times New Roman" w:hAnsi="Times New Roman" w:eastAsia="仿宋_GB2312"/>
          <w:sz w:val="32"/>
          <w:szCs w:val="32"/>
          <w:highlight w:val="none"/>
          <w:lang w:eastAsia="zh-CN" w:bidi="ar"/>
        </w:rPr>
        <w:t>推进建立健全医疗保障信用管理制度</w:t>
      </w:r>
      <w:r>
        <w:rPr>
          <w:rFonts w:ascii="Times New Roman" w:hAnsi="Times New Roman" w:eastAsia="仿宋_GB2312"/>
          <w:sz w:val="32"/>
          <w:szCs w:val="32"/>
          <w:highlight w:val="none"/>
          <w:lang w:bidi="ar"/>
        </w:rPr>
        <w:t>，促进医</w:t>
      </w:r>
      <w:r>
        <w:rPr>
          <w:rFonts w:hint="eastAsia" w:ascii="Times New Roman" w:hAnsi="Times New Roman" w:eastAsia="仿宋_GB2312"/>
          <w:sz w:val="32"/>
          <w:szCs w:val="32"/>
          <w:highlight w:val="none"/>
          <w:lang w:eastAsia="zh-CN" w:bidi="ar"/>
        </w:rPr>
        <w:t>疗保障</w:t>
      </w:r>
      <w:r>
        <w:rPr>
          <w:rFonts w:ascii="Times New Roman" w:hAnsi="Times New Roman" w:eastAsia="仿宋_GB2312"/>
          <w:sz w:val="32"/>
          <w:szCs w:val="32"/>
          <w:highlight w:val="none"/>
          <w:lang w:bidi="ar"/>
        </w:rPr>
        <w:t>事业健康可持续发展，根据《国务院办公厅</w:t>
      </w:r>
      <w:bookmarkStart w:id="0" w:name="_GoBack"/>
      <w:bookmarkEnd w:id="0"/>
      <w:r>
        <w:rPr>
          <w:rFonts w:ascii="Times New Roman" w:hAnsi="Times New Roman" w:eastAsia="仿宋_GB2312"/>
          <w:sz w:val="32"/>
          <w:szCs w:val="32"/>
          <w:highlight w:val="none"/>
          <w:lang w:bidi="ar"/>
        </w:rPr>
        <w:t>关于</w:t>
      </w:r>
      <w:r>
        <w:rPr>
          <w:rFonts w:hint="eastAsia" w:ascii="Times New Roman" w:hAnsi="Times New Roman" w:eastAsia="仿宋_GB2312"/>
          <w:sz w:val="32"/>
          <w:szCs w:val="32"/>
          <w:highlight w:val="none"/>
          <w:lang w:eastAsia="zh-CN" w:bidi="ar"/>
        </w:rPr>
        <w:t>加强医疗保障基金使用常态化监管</w:t>
      </w:r>
      <w:r>
        <w:rPr>
          <w:rFonts w:ascii="Times New Roman" w:hAnsi="Times New Roman" w:eastAsia="仿宋_GB2312"/>
          <w:sz w:val="32"/>
          <w:szCs w:val="32"/>
          <w:highlight w:val="none"/>
          <w:lang w:bidi="ar"/>
        </w:rPr>
        <w:t>的指导意见》《山东省社会信用条例》等有关规定，制定本办法。</w:t>
      </w:r>
    </w:p>
    <w:p>
      <w:pPr>
        <w:spacing w:line="590" w:lineRule="exact"/>
        <w:ind w:firstLine="64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第二条</w:t>
      </w:r>
      <w:r>
        <w:rPr>
          <w:rFonts w:ascii="Times New Roman" w:hAnsi="Times New Roman" w:eastAsia="楷体_GB2312"/>
          <w:sz w:val="32"/>
          <w:szCs w:val="32"/>
          <w:highlight w:val="none"/>
        </w:rPr>
        <w:t xml:space="preserve"> </w:t>
      </w:r>
      <w:r>
        <w:rPr>
          <w:rFonts w:ascii="Times New Roman" w:hAnsi="Times New Roman" w:eastAsia="仿宋_GB2312"/>
          <w:sz w:val="32"/>
          <w:szCs w:val="32"/>
          <w:highlight w:val="none"/>
          <w:lang w:bidi="ar"/>
        </w:rPr>
        <w:t>山东省各统筹</w:t>
      </w:r>
      <w:r>
        <w:rPr>
          <w:rFonts w:hint="eastAsia" w:ascii="Times New Roman" w:hAnsi="Times New Roman" w:eastAsia="仿宋_GB2312"/>
          <w:sz w:val="32"/>
          <w:szCs w:val="32"/>
          <w:highlight w:val="none"/>
          <w:lang w:eastAsia="zh-CN" w:bidi="ar"/>
        </w:rPr>
        <w:t>地</w:t>
      </w:r>
      <w:r>
        <w:rPr>
          <w:rFonts w:ascii="Times New Roman" w:hAnsi="Times New Roman" w:eastAsia="仿宋_GB2312"/>
          <w:sz w:val="32"/>
          <w:szCs w:val="32"/>
          <w:highlight w:val="none"/>
          <w:lang w:bidi="ar"/>
        </w:rPr>
        <w:t>区</w:t>
      </w:r>
      <w:r>
        <w:rPr>
          <w:rFonts w:hint="eastAsia" w:ascii="Times New Roman" w:hAnsi="Times New Roman" w:eastAsia="仿宋_GB2312"/>
          <w:sz w:val="32"/>
          <w:szCs w:val="32"/>
          <w:highlight w:val="none"/>
          <w:lang w:eastAsia="zh-CN" w:bidi="ar"/>
        </w:rPr>
        <w:t>医疗保障经办机构对</w:t>
      </w:r>
      <w:r>
        <w:rPr>
          <w:rFonts w:ascii="Times New Roman" w:hAnsi="Times New Roman" w:eastAsia="仿宋_GB2312"/>
          <w:sz w:val="32"/>
          <w:szCs w:val="32"/>
          <w:highlight w:val="none"/>
          <w:lang w:bidi="ar"/>
        </w:rPr>
        <w:t>医</w:t>
      </w:r>
      <w:r>
        <w:rPr>
          <w:rFonts w:hint="eastAsia" w:ascii="Times New Roman" w:hAnsi="Times New Roman" w:eastAsia="仿宋_GB2312"/>
          <w:sz w:val="32"/>
          <w:szCs w:val="32"/>
          <w:highlight w:val="none"/>
          <w:lang w:eastAsia="zh-CN" w:bidi="ar"/>
        </w:rPr>
        <w:t>疗保障</w:t>
      </w:r>
      <w:r>
        <w:rPr>
          <w:rFonts w:ascii="Times New Roman" w:hAnsi="Times New Roman" w:eastAsia="仿宋_GB2312"/>
          <w:sz w:val="32"/>
          <w:szCs w:val="32"/>
          <w:highlight w:val="none"/>
          <w:lang w:bidi="ar"/>
        </w:rPr>
        <w:t>定点医疗机构和定点零售药店（以下简称定点医药机构）的医保信用评价工作，适用本办法。</w:t>
      </w:r>
    </w:p>
    <w:p>
      <w:pPr>
        <w:spacing w:line="590" w:lineRule="exact"/>
        <w:ind w:firstLine="630"/>
        <w:rPr>
          <w:rFonts w:ascii="Times New Roman" w:hAnsi="Times New Roman" w:eastAsia="仿宋_GB2312"/>
          <w:sz w:val="32"/>
          <w:szCs w:val="32"/>
          <w:highlight w:val="none"/>
        </w:rPr>
      </w:pPr>
      <w:r>
        <w:rPr>
          <w:rFonts w:ascii="Times New Roman" w:hAnsi="Times New Roman" w:eastAsia="黑体"/>
          <w:sz w:val="32"/>
          <w:szCs w:val="32"/>
          <w:highlight w:val="none"/>
        </w:rPr>
        <w:t>第三条</w:t>
      </w:r>
      <w:r>
        <w:rPr>
          <w:rFonts w:ascii="Times New Roman" w:hAnsi="Times New Roman" w:eastAsia="仿宋_GB2312"/>
          <w:sz w:val="32"/>
          <w:szCs w:val="32"/>
          <w:highlight w:val="none"/>
        </w:rPr>
        <w:t xml:space="preserve"> 定点医药机构医保信用评价</w:t>
      </w:r>
      <w:r>
        <w:rPr>
          <w:rFonts w:hint="eastAsia" w:ascii="Times New Roman" w:hAnsi="Times New Roman" w:eastAsia="仿宋_GB2312"/>
          <w:sz w:val="32"/>
          <w:szCs w:val="32"/>
          <w:highlight w:val="none"/>
          <w:lang w:eastAsia="zh-CN"/>
        </w:rPr>
        <w:t>工作应当</w:t>
      </w:r>
      <w:r>
        <w:rPr>
          <w:rFonts w:ascii="Times New Roman" w:hAnsi="Times New Roman" w:eastAsia="仿宋_GB2312"/>
          <w:sz w:val="32"/>
          <w:szCs w:val="32"/>
          <w:highlight w:val="none"/>
        </w:rPr>
        <w:t>遵循依法依规、客观公正、动态调整、奖惩结合的原则，</w:t>
      </w:r>
      <w:r>
        <w:rPr>
          <w:rFonts w:hint="eastAsia" w:ascii="Times New Roman" w:hAnsi="Times New Roman" w:eastAsia="仿宋_GB2312"/>
          <w:sz w:val="32"/>
          <w:szCs w:val="32"/>
          <w:highlight w:val="none"/>
          <w:lang w:eastAsia="zh-CN"/>
        </w:rPr>
        <w:t>保护</w:t>
      </w:r>
      <w:r>
        <w:rPr>
          <w:rFonts w:ascii="Times New Roman" w:hAnsi="Times New Roman" w:eastAsia="仿宋_GB2312"/>
          <w:sz w:val="32"/>
          <w:szCs w:val="32"/>
          <w:highlight w:val="none"/>
        </w:rPr>
        <w:t>定点医药机构的合法权益。</w:t>
      </w:r>
    </w:p>
    <w:p>
      <w:pPr>
        <w:spacing w:line="59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黑体"/>
          <w:sz w:val="32"/>
          <w:szCs w:val="32"/>
          <w:highlight w:val="none"/>
        </w:rPr>
        <w:t>第四条</w:t>
      </w:r>
      <w:r>
        <w:rPr>
          <w:rFonts w:ascii="Times New Roman" w:hAnsi="Times New Roman" w:eastAsia="仿宋_GB2312"/>
          <w:sz w:val="32"/>
          <w:szCs w:val="32"/>
          <w:highlight w:val="none"/>
        </w:rPr>
        <w:t xml:space="preserve"> 省</w:t>
      </w:r>
      <w:r>
        <w:rPr>
          <w:rFonts w:ascii="Times New Roman" w:hAnsi="Times New Roman" w:eastAsia="仿宋_GB2312"/>
          <w:sz w:val="32"/>
          <w:szCs w:val="32"/>
          <w:highlight w:val="none"/>
          <w:lang w:bidi="ar"/>
        </w:rPr>
        <w:t>级医疗保障行政部门负责全省定点医药机构医保信用评价</w:t>
      </w:r>
      <w:r>
        <w:rPr>
          <w:rFonts w:hint="eastAsia" w:ascii="Times New Roman" w:hAnsi="Times New Roman" w:eastAsia="仿宋_GB2312"/>
          <w:sz w:val="32"/>
          <w:szCs w:val="32"/>
          <w:highlight w:val="none"/>
          <w:lang w:eastAsia="zh-CN" w:bidi="ar"/>
        </w:rPr>
        <w:t>的</w:t>
      </w:r>
      <w:r>
        <w:rPr>
          <w:rFonts w:ascii="Times New Roman" w:hAnsi="Times New Roman" w:eastAsia="仿宋_GB2312"/>
          <w:sz w:val="32"/>
          <w:szCs w:val="32"/>
          <w:highlight w:val="none"/>
          <w:lang w:bidi="ar"/>
        </w:rPr>
        <w:t>组织管理工作</w:t>
      </w:r>
      <w:r>
        <w:rPr>
          <w:rFonts w:ascii="Times New Roman" w:hAnsi="Times New Roman" w:eastAsia="仿宋_GB2312"/>
          <w:sz w:val="32"/>
          <w:szCs w:val="32"/>
          <w:highlight w:val="none"/>
        </w:rPr>
        <w:t>。</w:t>
      </w:r>
      <w:r>
        <w:rPr>
          <w:rFonts w:ascii="Times New Roman" w:hAnsi="Times New Roman" w:eastAsia="仿宋_GB2312" w:cs="Times New Roman"/>
          <w:sz w:val="32"/>
          <w:szCs w:val="32"/>
          <w:highlight w:val="none"/>
          <w:lang w:bidi="ar"/>
        </w:rPr>
        <w:t>市级医疗保障行政部门负责</w:t>
      </w:r>
      <w:r>
        <w:rPr>
          <w:rFonts w:hint="eastAsia" w:ascii="Times New Roman" w:hAnsi="Times New Roman" w:eastAsia="仿宋_GB2312" w:cs="Times New Roman"/>
          <w:sz w:val="32"/>
          <w:szCs w:val="32"/>
          <w:highlight w:val="none"/>
          <w:lang w:eastAsia="zh-CN" w:bidi="ar"/>
        </w:rPr>
        <w:t>制定本统筹区信用评价办法实施细则，</w:t>
      </w:r>
      <w:r>
        <w:rPr>
          <w:rFonts w:hint="default" w:ascii="Times New Roman" w:hAnsi="Times New Roman" w:eastAsia="仿宋_GB2312" w:cs="Times New Roman"/>
          <w:sz w:val="32"/>
          <w:szCs w:val="32"/>
          <w:highlight w:val="none"/>
          <w:lang w:eastAsia="zh-CN" w:bidi="ar"/>
        </w:rPr>
        <w:t>监督指导医疗保障经办机构实施</w:t>
      </w:r>
      <w:r>
        <w:rPr>
          <w:rFonts w:ascii="Times New Roman" w:hAnsi="Times New Roman" w:eastAsia="仿宋_GB2312" w:cs="Times New Roman"/>
          <w:sz w:val="32"/>
          <w:szCs w:val="32"/>
          <w:highlight w:val="none"/>
          <w:lang w:bidi="ar"/>
        </w:rPr>
        <w:t>定点医药机构医保信用评价工作。</w:t>
      </w:r>
    </w:p>
    <w:p>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市级医疗保障经办机构负责属地定点医药机构医保信用评价的具体</w:t>
      </w:r>
      <w:r>
        <w:rPr>
          <w:rFonts w:hint="eastAsia" w:ascii="Times New Roman" w:hAnsi="Times New Roman" w:eastAsia="仿宋_GB2312"/>
          <w:sz w:val="32"/>
          <w:szCs w:val="32"/>
          <w:highlight w:val="none"/>
          <w:lang w:eastAsia="zh-CN"/>
        </w:rPr>
        <w:t>实施</w:t>
      </w:r>
      <w:r>
        <w:rPr>
          <w:rFonts w:ascii="Times New Roman" w:hAnsi="Times New Roman" w:eastAsia="仿宋_GB2312"/>
          <w:sz w:val="32"/>
          <w:szCs w:val="32"/>
          <w:highlight w:val="none"/>
        </w:rPr>
        <w:t>工作，也可委托符合资质的信用服务机构开展信用评</w:t>
      </w:r>
      <w:r>
        <w:rPr>
          <w:rFonts w:hint="eastAsia" w:ascii="Times New Roman" w:hAnsi="Times New Roman" w:eastAsia="仿宋_GB2312"/>
          <w:sz w:val="32"/>
          <w:szCs w:val="32"/>
          <w:highlight w:val="none"/>
          <w:lang w:eastAsia="zh-CN"/>
        </w:rPr>
        <w:t>价</w:t>
      </w:r>
      <w:r>
        <w:rPr>
          <w:rFonts w:ascii="Times New Roman" w:hAnsi="Times New Roman" w:eastAsia="仿宋_GB2312"/>
          <w:sz w:val="32"/>
          <w:szCs w:val="32"/>
          <w:highlight w:val="none"/>
        </w:rPr>
        <w:t>工作。</w:t>
      </w:r>
    </w:p>
    <w:p>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黑体"/>
          <w:sz w:val="32"/>
          <w:szCs w:val="32"/>
          <w:highlight w:val="none"/>
        </w:rPr>
        <w:t>第五条</w:t>
      </w:r>
      <w:r>
        <w:rPr>
          <w:rFonts w:ascii="Times New Roman" w:hAnsi="Times New Roman" w:eastAsia="仿宋_GB2312"/>
          <w:sz w:val="32"/>
          <w:szCs w:val="32"/>
          <w:highlight w:val="none"/>
        </w:rPr>
        <w:t xml:space="preserve"> 省级医疗保障行政部门统一建设全省医保信用评价信息管理</w:t>
      </w:r>
      <w:r>
        <w:rPr>
          <w:rFonts w:hint="eastAsia" w:ascii="Times New Roman" w:hAnsi="Times New Roman" w:eastAsia="仿宋_GB2312"/>
          <w:sz w:val="32"/>
          <w:szCs w:val="32"/>
          <w:highlight w:val="none"/>
          <w:lang w:eastAsia="zh-CN"/>
        </w:rPr>
        <w:t>系统</w:t>
      </w:r>
      <w:r>
        <w:rPr>
          <w:rFonts w:ascii="Times New Roman" w:hAnsi="Times New Roman" w:eastAsia="仿宋_GB2312"/>
          <w:sz w:val="32"/>
          <w:szCs w:val="32"/>
          <w:highlight w:val="none"/>
        </w:rPr>
        <w:t>，以数据和应用标准化为原则，围绕信用评价的全流程，整合医疗保障领域信用评价信息资源，实现信息化管理。</w:t>
      </w:r>
    </w:p>
    <w:p>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市级医疗保障行政部门负责属地医保信用评价信息平台管理，县级以上医疗保障经办机构</w:t>
      </w:r>
      <w:r>
        <w:rPr>
          <w:rFonts w:hint="eastAsia" w:ascii="Times New Roman" w:hAnsi="Times New Roman" w:eastAsia="仿宋_GB2312"/>
          <w:color w:val="auto"/>
          <w:sz w:val="32"/>
          <w:szCs w:val="32"/>
          <w:highlight w:val="none"/>
          <w:lang w:eastAsia="zh-CN"/>
        </w:rPr>
        <w:t>使用</w:t>
      </w:r>
      <w:r>
        <w:rPr>
          <w:rFonts w:ascii="Times New Roman" w:hAnsi="Times New Roman" w:eastAsia="仿宋_GB2312"/>
          <w:color w:val="auto"/>
          <w:sz w:val="32"/>
          <w:szCs w:val="32"/>
          <w:highlight w:val="none"/>
        </w:rPr>
        <w:t>信用评价信息平台</w:t>
      </w:r>
      <w:r>
        <w:rPr>
          <w:rFonts w:ascii="Times New Roman" w:hAnsi="Times New Roman" w:eastAsia="仿宋_GB2312"/>
          <w:sz w:val="32"/>
          <w:szCs w:val="32"/>
          <w:highlight w:val="none"/>
        </w:rPr>
        <w:t>组织开展医保信用评价信息数据采集、上传、记录、存储</w:t>
      </w:r>
      <w:r>
        <w:rPr>
          <w:rFonts w:hint="eastAsia" w:ascii="Times New Roman" w:hAnsi="Times New Roman" w:eastAsia="仿宋_GB2312"/>
          <w:sz w:val="32"/>
          <w:szCs w:val="32"/>
          <w:highlight w:val="none"/>
          <w:lang w:eastAsia="zh-CN"/>
        </w:rPr>
        <w:t>等工作</w:t>
      </w:r>
      <w:r>
        <w:rPr>
          <w:rFonts w:ascii="Times New Roman" w:hAnsi="Times New Roman" w:eastAsia="仿宋_GB2312"/>
          <w:sz w:val="32"/>
          <w:szCs w:val="32"/>
          <w:highlight w:val="none"/>
        </w:rPr>
        <w:t>。</w:t>
      </w:r>
    </w:p>
    <w:p>
      <w:pPr>
        <w:pStyle w:val="4"/>
        <w:spacing w:after="0" w:line="590" w:lineRule="exact"/>
        <w:rPr>
          <w:rFonts w:ascii="Times New Roman" w:hAnsi="Times New Roman" w:eastAsia="仿宋_GB2312"/>
          <w:color w:val="000000"/>
          <w:kern w:val="2"/>
          <w:sz w:val="32"/>
          <w:szCs w:val="32"/>
          <w:highlight w:val="none"/>
        </w:rPr>
      </w:pPr>
    </w:p>
    <w:p>
      <w:pPr>
        <w:spacing w:line="590" w:lineRule="exact"/>
        <w:jc w:val="center"/>
        <w:rPr>
          <w:rFonts w:ascii="Times New Roman" w:hAnsi="Times New Roman" w:eastAsia="黑体"/>
          <w:sz w:val="32"/>
          <w:szCs w:val="32"/>
          <w:highlight w:val="none"/>
        </w:rPr>
      </w:pPr>
      <w:r>
        <w:rPr>
          <w:rFonts w:ascii="Times New Roman" w:hAnsi="Times New Roman" w:eastAsia="黑体"/>
          <w:sz w:val="32"/>
          <w:szCs w:val="32"/>
          <w:highlight w:val="none"/>
        </w:rPr>
        <w:t>第二章  信息采集</w:t>
      </w:r>
    </w:p>
    <w:p>
      <w:pPr>
        <w:spacing w:line="590" w:lineRule="exact"/>
        <w:textAlignment w:val="center"/>
        <w:rPr>
          <w:rFonts w:ascii="Times New Roman" w:hAnsi="Times New Roman" w:eastAsia="楷体_GB2312"/>
          <w:sz w:val="32"/>
          <w:szCs w:val="32"/>
          <w:highlight w:val="none"/>
        </w:rPr>
      </w:pPr>
    </w:p>
    <w:p>
      <w:pPr>
        <w:spacing w:line="590" w:lineRule="exact"/>
        <w:ind w:firstLine="640" w:firstLineChars="200"/>
        <w:rPr>
          <w:rStyle w:val="11"/>
          <w:rFonts w:hint="default" w:ascii="Times New Roman" w:hAnsi="Times New Roman"/>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六</w:t>
      </w:r>
      <w:r>
        <w:rPr>
          <w:rFonts w:ascii="Times New Roman" w:hAnsi="Times New Roman" w:eastAsia="黑体"/>
          <w:sz w:val="32"/>
          <w:szCs w:val="32"/>
          <w:highlight w:val="none"/>
        </w:rPr>
        <w:t>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rPr>
        <w:t>各级医疗保障部门应</w:t>
      </w:r>
      <w:r>
        <w:rPr>
          <w:rFonts w:hint="eastAsia" w:ascii="Times New Roman" w:hAnsi="Times New Roman" w:eastAsia="仿宋_GB2312"/>
          <w:sz w:val="32"/>
          <w:szCs w:val="32"/>
          <w:highlight w:val="none"/>
          <w:lang w:eastAsia="zh-CN"/>
        </w:rPr>
        <w:t>当</w:t>
      </w:r>
      <w:r>
        <w:rPr>
          <w:rFonts w:ascii="Times New Roman" w:hAnsi="Times New Roman" w:eastAsia="仿宋_GB2312"/>
          <w:sz w:val="32"/>
          <w:szCs w:val="32"/>
          <w:highlight w:val="none"/>
        </w:rPr>
        <w:t>依法依规采集、共享和管理定点医药机构医保信用</w:t>
      </w:r>
      <w:r>
        <w:rPr>
          <w:rFonts w:ascii="Times New Roman" w:hAnsi="Times New Roman" w:eastAsia="仿宋_GB2312"/>
          <w:color w:val="000000"/>
          <w:sz w:val="32"/>
          <w:szCs w:val="32"/>
          <w:highlight w:val="none"/>
        </w:rPr>
        <w:t>信息</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sz w:val="32"/>
          <w:szCs w:val="32"/>
          <w:highlight w:val="none"/>
        </w:rPr>
        <w:t>定点医药机构</w:t>
      </w:r>
      <w:r>
        <w:rPr>
          <w:rStyle w:val="11"/>
          <w:rFonts w:hint="default" w:ascii="Times New Roman" w:hAnsi="Times New Roman"/>
          <w:highlight w:val="none"/>
        </w:rPr>
        <w:t>医保信用信息主要来源于医保业务平台、医保智能监控系统、医保基金监管稽核及日常审核等。</w:t>
      </w:r>
    </w:p>
    <w:p>
      <w:pPr>
        <w:spacing w:line="590" w:lineRule="exact"/>
        <w:ind w:firstLine="640" w:firstLineChars="200"/>
        <w:rPr>
          <w:rStyle w:val="11"/>
          <w:rFonts w:hint="default" w:ascii="Times New Roman" w:hAnsi="Times New Roman"/>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七</w:t>
      </w:r>
      <w:r>
        <w:rPr>
          <w:rFonts w:ascii="Times New Roman" w:hAnsi="Times New Roman" w:eastAsia="黑体"/>
          <w:sz w:val="32"/>
          <w:szCs w:val="32"/>
          <w:highlight w:val="none"/>
        </w:rPr>
        <w:t>条</w:t>
      </w:r>
      <w:r>
        <w:rPr>
          <w:rFonts w:ascii="Times New Roman" w:hAnsi="Times New Roman" w:eastAsia="仿宋_GB2312"/>
          <w:color w:val="FF0000"/>
          <w:sz w:val="32"/>
          <w:szCs w:val="32"/>
          <w:highlight w:val="none"/>
        </w:rPr>
        <w:t xml:space="preserve"> </w:t>
      </w:r>
      <w:r>
        <w:rPr>
          <w:rFonts w:hint="eastAsia" w:ascii="Times New Roman" w:hAnsi="Times New Roman" w:eastAsia="仿宋_GB2312"/>
          <w:color w:val="auto"/>
          <w:sz w:val="32"/>
          <w:szCs w:val="32"/>
          <w:highlight w:val="none"/>
          <w:lang w:eastAsia="zh-CN"/>
        </w:rPr>
        <w:t>各级医保部门按照“谁签协议，谁管理，谁建档”原则，</w:t>
      </w:r>
      <w:r>
        <w:rPr>
          <w:rFonts w:ascii="Times New Roman" w:hAnsi="Times New Roman" w:eastAsia="仿宋_GB2312"/>
          <w:sz w:val="32"/>
          <w:szCs w:val="32"/>
          <w:highlight w:val="none"/>
        </w:rPr>
        <w:t>建立健</w:t>
      </w:r>
      <w:r>
        <w:rPr>
          <w:rStyle w:val="11"/>
          <w:rFonts w:hint="default" w:ascii="Times New Roman" w:hAnsi="Times New Roman"/>
          <w:highlight w:val="none"/>
        </w:rPr>
        <w:t>全定点医药机构医保信用信息数据库，及时、准确记录定点医药机构的信用行为并实现动态更新，做到可查可核可溯。</w:t>
      </w:r>
    </w:p>
    <w:p>
      <w:pPr>
        <w:spacing w:line="590" w:lineRule="exact"/>
        <w:ind w:firstLine="640" w:firstLineChars="200"/>
        <w:rPr>
          <w:rStyle w:val="11"/>
          <w:rFonts w:hint="default" w:ascii="Times New Roman" w:hAnsi="Times New Roman"/>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八</w:t>
      </w:r>
      <w:r>
        <w:rPr>
          <w:rFonts w:ascii="Times New Roman" w:hAnsi="Times New Roman" w:eastAsia="黑体"/>
          <w:sz w:val="32"/>
          <w:szCs w:val="32"/>
          <w:highlight w:val="none"/>
        </w:rPr>
        <w:t xml:space="preserve">条 </w:t>
      </w:r>
      <w:r>
        <w:rPr>
          <w:rStyle w:val="11"/>
          <w:rFonts w:hint="default" w:ascii="Times New Roman" w:hAnsi="Times New Roman"/>
          <w:highlight w:val="none"/>
        </w:rPr>
        <w:t>医保信用信息数据库</w:t>
      </w:r>
      <w:r>
        <w:rPr>
          <w:rFonts w:ascii="Times New Roman" w:hAnsi="Times New Roman" w:eastAsia="仿宋_GB2312"/>
          <w:sz w:val="32"/>
          <w:szCs w:val="32"/>
          <w:highlight w:val="none"/>
        </w:rPr>
        <w:t>应包括基础信息、良好信息、不良信息和其他信息。</w:t>
      </w:r>
    </w:p>
    <w:p>
      <w:pPr>
        <w:spacing w:line="590" w:lineRule="exact"/>
        <w:ind w:firstLine="640" w:firstLineChars="20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（一）基础信息。包括定点医药机构名称、统一社会信用代码、医保编码，法定代表人的姓名、证件类型、证件号码等。</w:t>
      </w:r>
    </w:p>
    <w:p>
      <w:pPr>
        <w:spacing w:line="590" w:lineRule="exact"/>
        <w:ind w:firstLine="640" w:firstLineChars="200"/>
        <w:jc w:val="both"/>
        <w:rPr>
          <w:rStyle w:val="11"/>
          <w:rFonts w:hint="default" w:ascii="Times New Roman" w:hAnsi="Times New Roman"/>
          <w:highlight w:val="none"/>
        </w:rPr>
      </w:pPr>
      <w:r>
        <w:rPr>
          <w:rStyle w:val="11"/>
          <w:rFonts w:hint="default" w:ascii="Times New Roman" w:hAnsi="Times New Roman"/>
          <w:highlight w:val="none"/>
        </w:rPr>
        <w:t>（二）良好信息。包括政府部门对定点医药机构的表彰、奖励、通报表扬等。</w:t>
      </w:r>
    </w:p>
    <w:p>
      <w:pPr>
        <w:spacing w:line="590" w:lineRule="exact"/>
        <w:ind w:firstLine="640" w:firstLineChars="200"/>
        <w:jc w:val="both"/>
        <w:rPr>
          <w:rStyle w:val="11"/>
          <w:rFonts w:hint="default" w:ascii="Times New Roman" w:hAnsi="Times New Roman"/>
          <w:spacing w:val="6"/>
          <w:highlight w:val="none"/>
        </w:rPr>
      </w:pPr>
      <w:r>
        <w:rPr>
          <w:rStyle w:val="11"/>
          <w:rFonts w:hint="default" w:ascii="Times New Roman" w:hAnsi="Times New Roman"/>
          <w:highlight w:val="none"/>
        </w:rPr>
        <w:t>（三）不良信息。包括定点医药机构在医疗保障领域违反有关法律、</w:t>
      </w:r>
      <w:r>
        <w:rPr>
          <w:rStyle w:val="11"/>
          <w:rFonts w:hint="default" w:ascii="Times New Roman" w:hAnsi="Times New Roman"/>
          <w:spacing w:val="6"/>
          <w:highlight w:val="none"/>
        </w:rPr>
        <w:t>法规、规章、制度或</w:t>
      </w:r>
      <w:r>
        <w:rPr>
          <w:rStyle w:val="11"/>
          <w:rFonts w:hint="eastAsia" w:ascii="Times New Roman" w:hAnsi="Times New Roman" w:eastAsia="仿宋_GB2312"/>
          <w:color w:val="auto"/>
          <w:spacing w:val="6"/>
          <w:highlight w:val="none"/>
          <w:lang w:eastAsia="zh-CN"/>
        </w:rPr>
        <w:t>医保</w:t>
      </w:r>
      <w:r>
        <w:rPr>
          <w:rStyle w:val="11"/>
          <w:rFonts w:hint="default" w:ascii="Times New Roman" w:hAnsi="Times New Roman"/>
          <w:spacing w:val="6"/>
          <w:highlight w:val="none"/>
        </w:rPr>
        <w:t>服务协议的信息，受到县级以上医疗保障部门处理的相关信息，以及经有关部门认定的其他不良信息。</w:t>
      </w:r>
    </w:p>
    <w:p>
      <w:pPr>
        <w:spacing w:line="590" w:lineRule="exact"/>
        <w:ind w:firstLine="624" w:firstLineChars="200"/>
        <w:jc w:val="both"/>
        <w:rPr>
          <w:rStyle w:val="11"/>
          <w:rFonts w:hint="default" w:ascii="Times New Roman" w:hAnsi="Times New Roman"/>
          <w:spacing w:val="-4"/>
          <w:highlight w:val="yellow"/>
        </w:rPr>
      </w:pPr>
      <w:r>
        <w:rPr>
          <w:rStyle w:val="11"/>
          <w:rFonts w:hint="default" w:ascii="Times New Roman" w:hAnsi="Times New Roman"/>
          <w:spacing w:val="-4"/>
          <w:highlight w:val="none"/>
        </w:rPr>
        <w:t>（四）其他信息。包括舆情信息、异议处理、信用修复等。</w:t>
      </w:r>
    </w:p>
    <w:p>
      <w:pPr>
        <w:widowControl/>
        <w:spacing w:line="560" w:lineRule="exact"/>
        <w:ind w:firstLine="640" w:firstLineChars="200"/>
        <w:jc w:val="both"/>
        <w:rPr>
          <w:rFonts w:hint="eastAsia" w:ascii="Times New Roman" w:hAnsi="Times New Roman" w:eastAsia="仿宋_GB2312"/>
          <w:color w:val="FF0000"/>
          <w:sz w:val="32"/>
          <w:szCs w:val="32"/>
          <w:highlight w:val="none"/>
          <w:lang w:val="en-US" w:eastAsia="zh-CN"/>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九</w:t>
      </w:r>
      <w:r>
        <w:rPr>
          <w:rFonts w:ascii="Times New Roman" w:hAnsi="Times New Roman" w:eastAsia="黑体"/>
          <w:sz w:val="32"/>
          <w:szCs w:val="32"/>
          <w:highlight w:val="none"/>
        </w:rPr>
        <w:t>条</w:t>
      </w:r>
      <w:r>
        <w:rPr>
          <w:rFonts w:hint="eastAsia" w:ascii="Times New Roman" w:hAnsi="Times New Roman" w:eastAsia="黑体"/>
          <w:sz w:val="32"/>
          <w:szCs w:val="32"/>
          <w:highlight w:val="none"/>
          <w:lang w:val="en-US" w:eastAsia="zh-CN"/>
        </w:rPr>
        <w:t xml:space="preserve"> </w:t>
      </w:r>
      <w:r>
        <w:rPr>
          <w:rFonts w:ascii="Times New Roman" w:hAnsi="Times New Roman" w:eastAsia="仿宋_GB2312"/>
          <w:color w:val="auto"/>
          <w:sz w:val="32"/>
          <w:szCs w:val="32"/>
          <w:highlight w:val="none"/>
          <w:lang w:val="en-US" w:eastAsia="zh-CN"/>
        </w:rPr>
        <w:t>定点</w:t>
      </w:r>
      <w:r>
        <w:rPr>
          <w:rFonts w:hint="eastAsia" w:ascii="Times New Roman" w:hAnsi="Times New Roman" w:eastAsia="仿宋_GB2312"/>
          <w:color w:val="auto"/>
          <w:sz w:val="32"/>
          <w:szCs w:val="32"/>
          <w:highlight w:val="none"/>
          <w:lang w:val="en-US" w:eastAsia="zh-CN"/>
        </w:rPr>
        <w:t>医药机构应当在签订医保服务协议时一并签订医保基金使用信用承诺书。</w:t>
      </w:r>
      <w:r>
        <w:rPr>
          <w:rFonts w:hint="eastAsia" w:ascii="Times New Roman" w:hAnsi="Times New Roman" w:eastAsia="仿宋_GB2312" w:cs="Times New Roman"/>
          <w:i w:val="0"/>
          <w:caps w:val="0"/>
          <w:color w:val="auto"/>
          <w:spacing w:val="0"/>
          <w:kern w:val="2"/>
          <w:sz w:val="32"/>
          <w:szCs w:val="32"/>
          <w:highlight w:val="none"/>
          <w:lang w:val="en-US" w:eastAsia="zh-CN" w:bidi="ar"/>
        </w:rPr>
        <w:t>定点医药机构对信用承诺内容的真实性负责，信用承诺及承诺履行情况，将作为对承诺主体开展事中事后监管的重要依据。</w:t>
      </w:r>
    </w:p>
    <w:p>
      <w:pPr>
        <w:pStyle w:val="2"/>
        <w:spacing w:before="0" w:after="0" w:line="560" w:lineRule="exact"/>
        <w:rPr>
          <w:rFonts w:hint="eastAsia" w:ascii="Times New Roman" w:eastAsia="仿宋_GB2312"/>
          <w:b w:val="0"/>
          <w:bCs w:val="0"/>
          <w:caps w:val="0"/>
          <w:color w:val="auto"/>
          <w:sz w:val="32"/>
          <w:szCs w:val="32"/>
          <w:highlight w:val="none"/>
        </w:rPr>
      </w:pPr>
      <w:r>
        <w:rPr>
          <w:rFonts w:hint="eastAsia" w:ascii="Times New Roman" w:hAnsi="Times New Roman" w:eastAsia="黑体" w:cs="Times New Roman"/>
          <w:b w:val="0"/>
          <w:bCs w:val="0"/>
          <w:caps w:val="0"/>
          <w:kern w:val="2"/>
          <w:sz w:val="32"/>
          <w:szCs w:val="32"/>
          <w:highlight w:val="none"/>
          <w:lang w:val="en-US" w:eastAsia="zh-CN" w:bidi="ar-SA"/>
        </w:rPr>
        <w:t>第十条</w:t>
      </w:r>
      <w:r>
        <w:rPr>
          <w:rFonts w:hint="eastAsia" w:ascii="Times New Roman" w:eastAsia="仿宋_GB2312"/>
          <w:b w:val="0"/>
          <w:bCs w:val="0"/>
          <w:caps w:val="0"/>
          <w:color w:val="auto"/>
          <w:sz w:val="32"/>
          <w:szCs w:val="32"/>
          <w:highlight w:val="none"/>
          <w:lang w:val="en-US" w:eastAsia="zh-CN"/>
        </w:rPr>
        <w:t xml:space="preserve"> </w:t>
      </w:r>
      <w:r>
        <w:rPr>
          <w:rFonts w:hint="eastAsia" w:ascii="Times New Roman" w:eastAsia="仿宋_GB2312"/>
          <w:b w:val="0"/>
          <w:bCs w:val="0"/>
          <w:caps w:val="0"/>
          <w:color w:val="auto"/>
          <w:sz w:val="32"/>
          <w:szCs w:val="32"/>
          <w:highlight w:val="none"/>
        </w:rPr>
        <w:t>承诺书由</w:t>
      </w:r>
      <w:r>
        <w:rPr>
          <w:rFonts w:hint="eastAsia" w:ascii="Times New Roman" w:eastAsia="仿宋_GB2312"/>
          <w:b w:val="0"/>
          <w:bCs w:val="0"/>
          <w:caps w:val="0"/>
          <w:color w:val="auto"/>
          <w:sz w:val="32"/>
          <w:szCs w:val="32"/>
          <w:highlight w:val="none"/>
          <w:lang w:eastAsia="zh-CN"/>
        </w:rPr>
        <w:t>市级医保部门</w:t>
      </w:r>
      <w:r>
        <w:rPr>
          <w:rFonts w:hint="eastAsia" w:ascii="Times New Roman" w:eastAsia="仿宋_GB2312"/>
          <w:b w:val="0"/>
          <w:bCs w:val="0"/>
          <w:caps w:val="0"/>
          <w:color w:val="auto"/>
          <w:sz w:val="32"/>
          <w:szCs w:val="32"/>
          <w:highlight w:val="none"/>
        </w:rPr>
        <w:t>统一编制，主要内容包括：</w:t>
      </w:r>
    </w:p>
    <w:p>
      <w:pPr>
        <w:pStyle w:val="2"/>
        <w:spacing w:before="0" w:after="0" w:line="560" w:lineRule="exact"/>
        <w:rPr>
          <w:rFonts w:hint="eastAsia" w:ascii="Times New Roman" w:eastAsia="仿宋_GB2312"/>
          <w:b w:val="0"/>
          <w:bCs w:val="0"/>
          <w:caps w:val="0"/>
          <w:color w:val="auto"/>
          <w:sz w:val="32"/>
          <w:szCs w:val="32"/>
          <w:highlight w:val="none"/>
        </w:rPr>
      </w:pPr>
      <w:r>
        <w:rPr>
          <w:rFonts w:hint="eastAsia" w:ascii="Times New Roman" w:eastAsia="仿宋_GB2312"/>
          <w:b w:val="0"/>
          <w:bCs w:val="0"/>
          <w:caps w:val="0"/>
          <w:color w:val="auto"/>
          <w:sz w:val="32"/>
          <w:szCs w:val="32"/>
          <w:highlight w:val="none"/>
        </w:rPr>
        <w:t>（一）遵守医疗保障政策法规和履行服务协议；</w:t>
      </w:r>
    </w:p>
    <w:p>
      <w:pPr>
        <w:pStyle w:val="2"/>
        <w:spacing w:before="0" w:after="0" w:line="560" w:lineRule="exact"/>
        <w:rPr>
          <w:rFonts w:hint="eastAsia" w:ascii="Times New Roman" w:eastAsia="仿宋_GB2312"/>
          <w:b w:val="0"/>
          <w:bCs w:val="0"/>
          <w:caps w:val="0"/>
          <w:color w:val="auto"/>
          <w:sz w:val="32"/>
          <w:szCs w:val="32"/>
          <w:highlight w:val="none"/>
        </w:rPr>
      </w:pPr>
      <w:r>
        <w:rPr>
          <w:rFonts w:hint="eastAsia" w:ascii="Times New Roman" w:eastAsia="仿宋_GB2312"/>
          <w:b w:val="0"/>
          <w:bCs w:val="0"/>
          <w:caps w:val="0"/>
          <w:color w:val="auto"/>
          <w:sz w:val="32"/>
          <w:szCs w:val="32"/>
          <w:highlight w:val="none"/>
        </w:rPr>
        <w:t>（二）发生违法违规或违反服务协议失信行为的，自愿接受相关惩戒，并依法承担相应责任；</w:t>
      </w:r>
    </w:p>
    <w:p>
      <w:pPr>
        <w:pStyle w:val="2"/>
        <w:spacing w:before="0" w:after="0" w:line="560" w:lineRule="exact"/>
        <w:rPr>
          <w:rFonts w:hint="eastAsia" w:ascii="Times New Roman" w:eastAsia="仿宋_GB2312"/>
          <w:b w:val="0"/>
          <w:bCs w:val="0"/>
          <w:caps w:val="0"/>
          <w:color w:val="auto"/>
          <w:sz w:val="32"/>
          <w:szCs w:val="32"/>
          <w:highlight w:val="none"/>
        </w:rPr>
      </w:pPr>
      <w:r>
        <w:rPr>
          <w:rFonts w:hint="eastAsia" w:ascii="Times New Roman" w:eastAsia="仿宋_GB2312"/>
          <w:b w:val="0"/>
          <w:bCs w:val="0"/>
          <w:caps w:val="0"/>
          <w:color w:val="auto"/>
          <w:sz w:val="32"/>
          <w:szCs w:val="32"/>
          <w:highlight w:val="none"/>
        </w:rPr>
        <w:t>（三）自觉接受政府、社会公众、新闻舆论的监督，积极履行社会责任。</w:t>
      </w:r>
    </w:p>
    <w:p/>
    <w:p>
      <w:pPr>
        <w:spacing w:line="590" w:lineRule="exact"/>
        <w:jc w:val="center"/>
        <w:rPr>
          <w:rFonts w:hint="eastAsia" w:ascii="Times New Roman" w:hAnsi="Times New Roman" w:eastAsia="黑体"/>
          <w:kern w:val="0"/>
          <w:sz w:val="30"/>
          <w:szCs w:val="30"/>
          <w:highlight w:val="none"/>
          <w:lang w:eastAsia="zh-CN"/>
        </w:rPr>
      </w:pPr>
      <w:r>
        <w:rPr>
          <w:rFonts w:ascii="Times New Roman" w:hAnsi="Times New Roman" w:eastAsia="黑体"/>
          <w:kern w:val="0"/>
          <w:sz w:val="32"/>
          <w:szCs w:val="32"/>
          <w:highlight w:val="none"/>
        </w:rPr>
        <w:t>第三章　信用评</w:t>
      </w:r>
      <w:r>
        <w:rPr>
          <w:rFonts w:hint="eastAsia" w:ascii="Times New Roman" w:hAnsi="Times New Roman" w:eastAsia="黑体"/>
          <w:color w:val="auto"/>
          <w:kern w:val="0"/>
          <w:sz w:val="32"/>
          <w:szCs w:val="32"/>
          <w:highlight w:val="none"/>
          <w:lang w:eastAsia="zh-CN"/>
        </w:rPr>
        <w:t>价</w:t>
      </w:r>
    </w:p>
    <w:p>
      <w:pPr>
        <w:spacing w:line="590" w:lineRule="exact"/>
        <w:ind w:firstLine="630"/>
        <w:rPr>
          <w:rFonts w:ascii="Times New Roman" w:hAnsi="Times New Roman" w:eastAsia="楷体_GB2312"/>
          <w:color w:val="000000"/>
          <w:sz w:val="32"/>
          <w:szCs w:val="32"/>
          <w:highlight w:val="none"/>
        </w:rPr>
      </w:pP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第十一条</w:t>
      </w:r>
      <w:r>
        <w:rPr>
          <w:rFonts w:ascii="Times New Roman" w:hAnsi="Times New Roman" w:eastAsia="仿宋_GB2312"/>
          <w:sz w:val="32"/>
          <w:szCs w:val="32"/>
          <w:highlight w:val="none"/>
          <w:lang w:bidi="ar"/>
        </w:rPr>
        <w:t xml:space="preserve"> 定点医药机构医保信用评</w:t>
      </w:r>
      <w:r>
        <w:rPr>
          <w:rFonts w:hint="eastAsia" w:ascii="Times New Roman" w:hAnsi="Times New Roman" w:eastAsia="仿宋_GB2312"/>
          <w:color w:val="auto"/>
          <w:sz w:val="32"/>
          <w:szCs w:val="32"/>
          <w:highlight w:val="none"/>
          <w:lang w:eastAsia="zh-CN" w:bidi="ar"/>
        </w:rPr>
        <w:t>价</w:t>
      </w:r>
      <w:r>
        <w:rPr>
          <w:rFonts w:ascii="Times New Roman" w:hAnsi="Times New Roman" w:eastAsia="仿宋_GB2312"/>
          <w:sz w:val="32"/>
          <w:szCs w:val="32"/>
          <w:highlight w:val="none"/>
          <w:lang w:bidi="ar"/>
        </w:rPr>
        <w:t>的内容主要包括，是否按照有关法律、政策规定和服务协议约定，</w:t>
      </w:r>
      <w:r>
        <w:rPr>
          <w:rFonts w:hint="eastAsia" w:ascii="Times New Roman" w:hAnsi="Times New Roman" w:eastAsia="仿宋_GB2312"/>
          <w:sz w:val="32"/>
          <w:szCs w:val="32"/>
          <w:highlight w:val="none"/>
          <w:lang w:eastAsia="zh-CN" w:bidi="ar"/>
        </w:rPr>
        <w:t>行使</w:t>
      </w:r>
      <w:r>
        <w:rPr>
          <w:rFonts w:ascii="Times New Roman" w:hAnsi="Times New Roman" w:eastAsia="仿宋_GB2312"/>
          <w:sz w:val="32"/>
          <w:szCs w:val="32"/>
          <w:highlight w:val="none"/>
          <w:lang w:bidi="ar"/>
        </w:rPr>
        <w:t>权利</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履行义务，按规定提供医药服务，提高服务质量，合理使用医疗保障基金等。</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医疗保障经办机构或委托的第三方信用服务机构从协议履行、基金使用、医药服务、行业规范等方面对定点医药机构开展信用评</w:t>
      </w:r>
      <w:r>
        <w:rPr>
          <w:rFonts w:hint="eastAsia" w:ascii="Times New Roman" w:hAnsi="Times New Roman" w:eastAsia="仿宋_GB2312"/>
          <w:color w:val="auto"/>
          <w:sz w:val="32"/>
          <w:szCs w:val="32"/>
          <w:highlight w:val="none"/>
          <w:lang w:eastAsia="zh-CN" w:bidi="ar"/>
        </w:rPr>
        <w:t>价</w:t>
      </w:r>
      <w:r>
        <w:rPr>
          <w:rFonts w:ascii="Times New Roman" w:hAnsi="Times New Roman" w:eastAsia="仿宋_GB2312"/>
          <w:sz w:val="32"/>
          <w:szCs w:val="32"/>
          <w:highlight w:val="none"/>
          <w:lang w:bidi="ar"/>
        </w:rPr>
        <w:t>。</w:t>
      </w:r>
    </w:p>
    <w:p>
      <w:pPr>
        <w:spacing w:line="590" w:lineRule="exact"/>
        <w:ind w:firstLine="630"/>
        <w:jc w:val="left"/>
        <w:rPr>
          <w:rFonts w:ascii="Times New Roman" w:hAnsi="Times New Roman" w:eastAsia="仿宋_GB2312"/>
          <w:sz w:val="32"/>
          <w:szCs w:val="32"/>
          <w:highlight w:val="none"/>
          <w:lang w:bidi="ar"/>
        </w:rPr>
      </w:pPr>
      <w:r>
        <w:rPr>
          <w:rFonts w:ascii="Times New Roman" w:hAnsi="Times New Roman" w:eastAsia="黑体"/>
          <w:sz w:val="32"/>
          <w:szCs w:val="32"/>
          <w:highlight w:val="none"/>
        </w:rPr>
        <w:t>第十二条</w:t>
      </w:r>
      <w:r>
        <w:rPr>
          <w:rFonts w:ascii="Times New Roman" w:hAnsi="Times New Roman" w:eastAsia="仿宋_GB2312"/>
          <w:sz w:val="32"/>
          <w:szCs w:val="32"/>
          <w:highlight w:val="none"/>
          <w:lang w:bidi="ar"/>
        </w:rPr>
        <w:t xml:space="preserve"> </w:t>
      </w:r>
      <w:r>
        <w:rPr>
          <w:rFonts w:ascii="Times New Roman" w:hAnsi="Times New Roman" w:eastAsia="仿宋"/>
          <w:sz w:val="32"/>
          <w:szCs w:val="32"/>
          <w:highlight w:val="none"/>
        </w:rPr>
        <w:t>定点医药机构医保信用评</w:t>
      </w:r>
      <w:r>
        <w:rPr>
          <w:rFonts w:hint="eastAsia" w:ascii="Times New Roman" w:hAnsi="Times New Roman" w:eastAsia="仿宋"/>
          <w:sz w:val="32"/>
          <w:szCs w:val="32"/>
          <w:highlight w:val="none"/>
          <w:lang w:eastAsia="zh-CN"/>
        </w:rPr>
        <w:t>价</w:t>
      </w:r>
      <w:r>
        <w:rPr>
          <w:rFonts w:ascii="Times New Roman" w:hAnsi="Times New Roman" w:eastAsia="仿宋"/>
          <w:sz w:val="32"/>
          <w:szCs w:val="32"/>
          <w:highlight w:val="none"/>
        </w:rPr>
        <w:t>实行等级制管理，从高至低</w:t>
      </w:r>
      <w:r>
        <w:rPr>
          <w:rFonts w:hint="eastAsia" w:ascii="Times New Roman" w:hAnsi="Times New Roman" w:eastAsia="仿宋_GB2312"/>
          <w:sz w:val="32"/>
          <w:szCs w:val="32"/>
          <w:highlight w:val="none"/>
          <w:lang w:eastAsia="zh-CN" w:bidi="ar"/>
        </w:rPr>
        <w:t>推荐</w:t>
      </w:r>
      <w:r>
        <w:rPr>
          <w:rFonts w:ascii="Times New Roman" w:hAnsi="Times New Roman" w:eastAsia="仿宋_GB2312"/>
          <w:sz w:val="32"/>
          <w:szCs w:val="32"/>
          <w:highlight w:val="none"/>
          <w:lang w:bidi="ar"/>
        </w:rPr>
        <w:t>为A+、A、B、C、C-、D、D-七个信用等级</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附件</w:t>
      </w:r>
      <w:r>
        <w:rPr>
          <w:rFonts w:hint="eastAsia" w:ascii="Times New Roman" w:hAnsi="Times New Roman" w:eastAsia="仿宋_GB2312"/>
          <w:sz w:val="32"/>
          <w:szCs w:val="32"/>
          <w:highlight w:val="none"/>
          <w:lang w:val="en-US" w:eastAsia="zh-CN" w:bidi="ar"/>
        </w:rPr>
        <w:t>1</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第十三条</w:t>
      </w:r>
      <w:r>
        <w:rPr>
          <w:rFonts w:ascii="Times New Roman" w:hAnsi="Times New Roman" w:eastAsia="仿宋_GB2312"/>
          <w:sz w:val="32"/>
          <w:szCs w:val="32"/>
          <w:highlight w:val="none"/>
          <w:lang w:bidi="ar"/>
        </w:rPr>
        <w:t xml:space="preserve"> 医保信用评</w:t>
      </w:r>
      <w:r>
        <w:rPr>
          <w:rFonts w:hint="eastAsia" w:ascii="Times New Roman" w:hAnsi="Times New Roman" w:eastAsia="仿宋_GB2312"/>
          <w:color w:val="auto"/>
          <w:sz w:val="32"/>
          <w:szCs w:val="32"/>
          <w:highlight w:val="none"/>
          <w:lang w:eastAsia="zh-CN" w:bidi="ar"/>
        </w:rPr>
        <w:t>价</w:t>
      </w:r>
      <w:r>
        <w:rPr>
          <w:rFonts w:ascii="Times New Roman" w:hAnsi="Times New Roman" w:eastAsia="仿宋_GB2312"/>
          <w:sz w:val="32"/>
          <w:szCs w:val="32"/>
          <w:highlight w:val="none"/>
          <w:lang w:bidi="ar"/>
        </w:rPr>
        <w:t>基本分值1000分，在此基础上，设置减分项、加分项两类</w:t>
      </w:r>
      <w:r>
        <w:rPr>
          <w:rFonts w:hint="eastAsia" w:ascii="Times New Roman" w:hAnsi="Times New Roman" w:eastAsia="仿宋_GB2312"/>
          <w:sz w:val="32"/>
          <w:szCs w:val="32"/>
          <w:highlight w:val="none"/>
          <w:lang w:eastAsia="zh-CN" w:bidi="ar"/>
        </w:rPr>
        <w:t>推荐</w:t>
      </w:r>
      <w:r>
        <w:rPr>
          <w:rFonts w:ascii="Times New Roman" w:hAnsi="Times New Roman" w:eastAsia="仿宋_GB2312"/>
          <w:sz w:val="32"/>
          <w:szCs w:val="32"/>
          <w:highlight w:val="none"/>
          <w:lang w:bidi="ar"/>
        </w:rPr>
        <w:t>指标</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附件</w:t>
      </w:r>
      <w:r>
        <w:rPr>
          <w:rFonts w:hint="eastAsia" w:ascii="Times New Roman" w:hAnsi="Times New Roman" w:eastAsia="仿宋_GB2312"/>
          <w:sz w:val="32"/>
          <w:szCs w:val="32"/>
          <w:highlight w:val="none"/>
          <w:lang w:val="en-US" w:eastAsia="zh-CN" w:bidi="ar"/>
        </w:rPr>
        <w:t>2、3</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。医保信用评级根据赋分标准，采用基准分递增（减）、标杆最优、实际值中优等方法打分。</w:t>
      </w:r>
    </w:p>
    <w:p>
      <w:pPr>
        <w:pStyle w:val="4"/>
        <w:spacing w:after="0" w:line="590" w:lineRule="exact"/>
        <w:ind w:firstLine="640" w:firstLineChars="200"/>
        <w:rPr>
          <w:rFonts w:ascii="Times New Roman" w:hAnsi="Times New Roman" w:eastAsia="仿宋_GB2312"/>
          <w:highlight w:val="none"/>
        </w:rPr>
      </w:pPr>
      <w:r>
        <w:rPr>
          <w:rFonts w:hint="eastAsia" w:ascii="Times New Roman" w:hAnsi="Times New Roman" w:eastAsia="仿宋_GB2312"/>
          <w:sz w:val="32"/>
          <w:szCs w:val="32"/>
          <w:highlight w:val="none"/>
          <w:lang w:eastAsia="zh-CN" w:bidi="ar"/>
        </w:rPr>
        <w:t>定点医药机构医保信用</w:t>
      </w:r>
      <w:r>
        <w:rPr>
          <w:rFonts w:ascii="Times New Roman" w:hAnsi="Times New Roman" w:eastAsia="仿宋_GB2312"/>
          <w:sz w:val="32"/>
          <w:szCs w:val="32"/>
          <w:highlight w:val="none"/>
          <w:lang w:bidi="ar"/>
        </w:rPr>
        <w:t>评价指标实行</w:t>
      </w:r>
      <w:r>
        <w:rPr>
          <w:rFonts w:hint="eastAsia" w:ascii="Times New Roman" w:hAnsi="Times New Roman" w:eastAsia="仿宋_GB2312"/>
          <w:sz w:val="32"/>
          <w:szCs w:val="32"/>
          <w:highlight w:val="none"/>
          <w:lang w:eastAsia="zh-CN" w:bidi="ar"/>
        </w:rPr>
        <w:t>属地</w:t>
      </w:r>
      <w:r>
        <w:rPr>
          <w:rFonts w:ascii="Times New Roman" w:hAnsi="Times New Roman" w:eastAsia="仿宋_GB2312"/>
          <w:sz w:val="32"/>
          <w:szCs w:val="32"/>
          <w:highlight w:val="none"/>
          <w:lang w:bidi="ar"/>
        </w:rPr>
        <w:t>动态管理</w:t>
      </w:r>
      <w:r>
        <w:rPr>
          <w:rFonts w:hint="eastAsia" w:ascii="Times New Roman" w:hAnsi="Times New Roman" w:eastAsia="仿宋_GB2312"/>
          <w:sz w:val="32"/>
          <w:szCs w:val="32"/>
          <w:highlight w:val="none"/>
          <w:lang w:eastAsia="zh-CN" w:bidi="ar"/>
        </w:rPr>
        <w:t>。各市级</w:t>
      </w:r>
      <w:r>
        <w:rPr>
          <w:rFonts w:ascii="Times New Roman" w:hAnsi="Times New Roman" w:eastAsia="仿宋_GB2312"/>
          <w:sz w:val="32"/>
          <w:szCs w:val="32"/>
          <w:highlight w:val="none"/>
          <w:lang w:bidi="ar"/>
        </w:rPr>
        <w:t>医疗保障行政部门</w:t>
      </w:r>
      <w:r>
        <w:rPr>
          <w:rFonts w:hint="eastAsia" w:ascii="Times New Roman" w:hAnsi="Times New Roman" w:eastAsia="仿宋_GB2312"/>
          <w:sz w:val="32"/>
          <w:szCs w:val="32"/>
          <w:highlight w:val="none"/>
          <w:lang w:eastAsia="zh-CN" w:bidi="ar"/>
        </w:rPr>
        <w:t>可以根据当地医保协议管理政策，与履约考核指标相结合，对推荐</w:t>
      </w:r>
      <w:r>
        <w:rPr>
          <w:rFonts w:ascii="Times New Roman" w:hAnsi="Times New Roman" w:eastAsia="仿宋_GB2312"/>
          <w:sz w:val="32"/>
          <w:szCs w:val="32"/>
          <w:highlight w:val="none"/>
          <w:lang w:bidi="ar"/>
        </w:rPr>
        <w:t>指标</w:t>
      </w:r>
      <w:r>
        <w:rPr>
          <w:rFonts w:hint="eastAsia" w:ascii="Times New Roman" w:hAnsi="Times New Roman" w:eastAsia="仿宋_GB2312"/>
          <w:sz w:val="32"/>
          <w:szCs w:val="32"/>
          <w:highlight w:val="none"/>
          <w:lang w:eastAsia="zh-CN" w:bidi="ar"/>
        </w:rPr>
        <w:t>（</w:t>
      </w:r>
      <w:r>
        <w:rPr>
          <w:rFonts w:ascii="Times New Roman" w:hAnsi="Times New Roman" w:eastAsia="仿宋_GB2312"/>
          <w:sz w:val="32"/>
          <w:szCs w:val="32"/>
          <w:highlight w:val="none"/>
          <w:lang w:bidi="ar"/>
        </w:rPr>
        <w:t>附件</w:t>
      </w:r>
      <w:r>
        <w:rPr>
          <w:rFonts w:hint="eastAsia" w:ascii="Times New Roman" w:hAnsi="Times New Roman" w:eastAsia="仿宋_GB2312"/>
          <w:sz w:val="32"/>
          <w:szCs w:val="32"/>
          <w:highlight w:val="none"/>
          <w:lang w:val="en-US" w:eastAsia="zh-CN" w:bidi="ar"/>
        </w:rPr>
        <w:t>2、3</w:t>
      </w:r>
      <w:r>
        <w:rPr>
          <w:rFonts w:hint="eastAsia" w:ascii="Times New Roman" w:hAnsi="Times New Roman" w:eastAsia="仿宋_GB2312"/>
          <w:sz w:val="32"/>
          <w:szCs w:val="32"/>
          <w:highlight w:val="none"/>
          <w:lang w:eastAsia="zh-CN" w:bidi="ar"/>
        </w:rPr>
        <w:t>）进行属地化调整；也可以根据当地</w:t>
      </w:r>
      <w:r>
        <w:rPr>
          <w:rFonts w:ascii="Times New Roman" w:hAnsi="Times New Roman" w:eastAsia="仿宋_GB2312"/>
          <w:sz w:val="32"/>
          <w:szCs w:val="32"/>
          <w:highlight w:val="none"/>
          <w:lang w:bidi="ar"/>
        </w:rPr>
        <w:t>工作安排或政策调整，对下一评价周期的</w:t>
      </w:r>
      <w:r>
        <w:rPr>
          <w:rFonts w:hint="eastAsia" w:ascii="Times New Roman" w:hAnsi="Times New Roman" w:eastAsia="仿宋_GB2312"/>
          <w:sz w:val="32"/>
          <w:szCs w:val="32"/>
          <w:highlight w:val="none"/>
          <w:lang w:eastAsia="zh-CN" w:bidi="ar"/>
        </w:rPr>
        <w:t>医保信用</w:t>
      </w:r>
      <w:r>
        <w:rPr>
          <w:rFonts w:ascii="Times New Roman" w:hAnsi="Times New Roman" w:eastAsia="仿宋_GB2312"/>
          <w:sz w:val="32"/>
          <w:szCs w:val="32"/>
          <w:highlight w:val="none"/>
          <w:lang w:bidi="ar"/>
        </w:rPr>
        <w:t>评价指标</w:t>
      </w:r>
      <w:r>
        <w:rPr>
          <w:rFonts w:hint="eastAsia" w:ascii="Times New Roman" w:hAnsi="Times New Roman" w:eastAsia="仿宋_GB2312"/>
          <w:sz w:val="32"/>
          <w:szCs w:val="32"/>
          <w:highlight w:val="none"/>
          <w:lang w:eastAsia="zh-CN" w:bidi="ar"/>
        </w:rPr>
        <w:t>进行动态</w:t>
      </w:r>
      <w:r>
        <w:rPr>
          <w:rFonts w:ascii="Times New Roman" w:hAnsi="Times New Roman" w:eastAsia="仿宋_GB2312"/>
          <w:sz w:val="32"/>
          <w:szCs w:val="32"/>
          <w:highlight w:val="none"/>
          <w:lang w:bidi="ar"/>
        </w:rPr>
        <w:t>调整。</w:t>
      </w:r>
    </w:p>
    <w:p>
      <w:pPr>
        <w:spacing w:line="590" w:lineRule="exact"/>
        <w:ind w:firstLine="630"/>
        <w:rPr>
          <w:rFonts w:hint="default" w:ascii="Times New Roman" w:hAnsi="Times New Roman" w:eastAsia="仿宋_GB2312" w:cs="Times New Roman"/>
          <w:b w:val="0"/>
          <w:bCs w:val="0"/>
          <w:caps w:val="0"/>
          <w:color w:val="FF0000"/>
          <w:sz w:val="32"/>
          <w:szCs w:val="32"/>
          <w:highlight w:val="none"/>
          <w:lang w:val="en-US" w:eastAsia="zh-CN"/>
        </w:rPr>
      </w:pPr>
      <w:r>
        <w:rPr>
          <w:rFonts w:ascii="Times New Roman" w:hAnsi="Times New Roman" w:eastAsia="黑体"/>
          <w:sz w:val="32"/>
          <w:szCs w:val="32"/>
          <w:highlight w:val="none"/>
        </w:rPr>
        <w:t>第十四条</w:t>
      </w:r>
      <w:r>
        <w:rPr>
          <w:rFonts w:ascii="Times New Roman" w:hAnsi="Times New Roman" w:eastAsia="仿宋_GB2312"/>
          <w:sz w:val="32"/>
          <w:szCs w:val="32"/>
          <w:highlight w:val="none"/>
          <w:lang w:bidi="ar"/>
        </w:rPr>
        <w:t xml:space="preserve"> </w:t>
      </w:r>
      <w:r>
        <w:rPr>
          <w:rFonts w:ascii="Times New Roman" w:hAnsi="Times New Roman" w:eastAsia="仿宋_GB2312"/>
          <w:strike w:val="0"/>
          <w:color w:val="auto"/>
          <w:sz w:val="32"/>
          <w:szCs w:val="32"/>
          <w:highlight w:val="none"/>
          <w:lang w:bidi="ar"/>
        </w:rPr>
        <w:t>定点医药机构</w:t>
      </w:r>
      <w:r>
        <w:rPr>
          <w:rFonts w:hint="default" w:ascii="Times New Roman" w:hAnsi="Times New Roman" w:eastAsia="仿宋_GB2312" w:cs="Times New Roman"/>
          <w:b w:val="0"/>
          <w:bCs w:val="0"/>
          <w:caps w:val="0"/>
          <w:color w:val="auto"/>
          <w:sz w:val="32"/>
          <w:szCs w:val="32"/>
          <w:highlight w:val="none"/>
          <w:lang w:val="en-US" w:eastAsia="zh-CN"/>
        </w:rPr>
        <w:t>信用评价每年度开展一次，</w:t>
      </w:r>
      <w:r>
        <w:rPr>
          <w:rFonts w:hint="eastAsia" w:ascii="Times New Roman" w:eastAsia="仿宋_GB2312" w:cs="Times New Roman"/>
          <w:b w:val="0"/>
          <w:bCs w:val="0"/>
          <w:caps w:val="0"/>
          <w:color w:val="auto"/>
          <w:sz w:val="32"/>
          <w:szCs w:val="32"/>
          <w:highlight w:val="none"/>
          <w:lang w:val="en-US" w:eastAsia="zh-CN"/>
        </w:rPr>
        <w:t>医保经办机构</w:t>
      </w:r>
      <w:r>
        <w:rPr>
          <w:rFonts w:hint="default" w:ascii="Times New Roman" w:hAnsi="Times New Roman" w:eastAsia="仿宋_GB2312" w:cs="Times New Roman"/>
          <w:b w:val="0"/>
          <w:bCs w:val="0"/>
          <w:caps w:val="0"/>
          <w:color w:val="auto"/>
          <w:sz w:val="32"/>
          <w:szCs w:val="32"/>
          <w:highlight w:val="none"/>
          <w:lang w:val="en-US" w:eastAsia="zh-CN"/>
        </w:rPr>
        <w:t>于每年3月底前完成上一年度医疗机构的信用等级评</w:t>
      </w:r>
      <w:r>
        <w:rPr>
          <w:rFonts w:hint="eastAsia" w:ascii="Times New Roman" w:hAnsi="Times New Roman" w:eastAsia="仿宋_GB2312" w:cs="Times New Roman"/>
          <w:b w:val="0"/>
          <w:bCs w:val="0"/>
          <w:caps w:val="0"/>
          <w:color w:val="auto"/>
          <w:sz w:val="32"/>
          <w:szCs w:val="32"/>
          <w:highlight w:val="none"/>
          <w:lang w:val="en-US" w:eastAsia="zh-CN"/>
        </w:rPr>
        <w:t>定，并将评价结果上报同级医保行政部门</w:t>
      </w:r>
      <w:r>
        <w:rPr>
          <w:rFonts w:hint="default" w:ascii="Times New Roman" w:hAnsi="Times New Roman" w:eastAsia="仿宋_GB2312" w:cs="Times New Roman"/>
          <w:b w:val="0"/>
          <w:bCs w:val="0"/>
          <w:caps w:val="0"/>
          <w:color w:val="auto"/>
          <w:sz w:val="32"/>
          <w:szCs w:val="32"/>
          <w:highlight w:val="none"/>
          <w:lang w:val="en-US" w:eastAsia="zh-CN"/>
        </w:rPr>
        <w:t>。</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定点医药机构医保信用评价信息涉及的情形未消除的，在下一周期继续作为评分依据。签署医保定点协议不满一年的定点医药机构不参与信用评价。</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第十五条</w:t>
      </w:r>
      <w:r>
        <w:rPr>
          <w:rFonts w:ascii="Times New Roman" w:hAnsi="Times New Roman" w:eastAsia="仿宋_GB2312"/>
          <w:sz w:val="32"/>
          <w:szCs w:val="32"/>
          <w:highlight w:val="none"/>
          <w:lang w:bidi="ar"/>
        </w:rPr>
        <w:t xml:space="preserve"> 同一案件或一次检查中，定点医药机构有多次同一评价指标扣分情形的，按一次（例）行为予以扣分，有两种以上扣分情形的，扣分分值累计计算。</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 xml:space="preserve">第十六条 </w:t>
      </w:r>
      <w:r>
        <w:rPr>
          <w:rFonts w:ascii="Times New Roman" w:hAnsi="Times New Roman" w:eastAsia="仿宋_GB2312"/>
          <w:sz w:val="32"/>
          <w:szCs w:val="32"/>
          <w:highlight w:val="none"/>
          <w:lang w:bidi="ar"/>
        </w:rPr>
        <w:t>医保经办机构应当及时将医保信用评价结果</w:t>
      </w:r>
      <w:r>
        <w:rPr>
          <w:rFonts w:hint="eastAsia" w:ascii="Times New Roman" w:hAnsi="Times New Roman" w:eastAsia="仿宋_GB2312"/>
          <w:sz w:val="32"/>
          <w:szCs w:val="32"/>
          <w:highlight w:val="none"/>
          <w:lang w:eastAsia="zh-CN" w:bidi="ar"/>
        </w:rPr>
        <w:t>通过多种渠道</w:t>
      </w:r>
      <w:r>
        <w:rPr>
          <w:rFonts w:ascii="Times New Roman" w:hAnsi="Times New Roman" w:eastAsia="仿宋_GB2312"/>
          <w:sz w:val="32"/>
          <w:szCs w:val="32"/>
          <w:highlight w:val="none"/>
          <w:lang w:bidi="ar"/>
        </w:rPr>
        <w:t>告知定点医药机构。定点医药机构认为信用评价信息、信用评分和信用等级有以下情形之一的,可以提出信用异议：</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（一）信用评价信息与事实不符；</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（二）信用评分和信用等级计算错误。</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信用异议申诉应在收到书面告知之日起15个工作日内提出，逾期视为认同告知结果。</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第十七条</w:t>
      </w:r>
      <w:r>
        <w:rPr>
          <w:rFonts w:ascii="Times New Roman" w:hAnsi="Times New Roman" w:eastAsia="仿宋_GB2312"/>
          <w:sz w:val="32"/>
          <w:szCs w:val="32"/>
          <w:highlight w:val="none"/>
          <w:lang w:bidi="ar"/>
        </w:rPr>
        <w:t xml:space="preserve"> 信用异议申诉可以向</w:t>
      </w:r>
      <w:r>
        <w:rPr>
          <w:rFonts w:hint="eastAsia" w:ascii="Times New Roman" w:hAnsi="Times New Roman" w:eastAsia="仿宋_GB2312"/>
          <w:color w:val="auto"/>
          <w:sz w:val="32"/>
          <w:szCs w:val="32"/>
          <w:highlight w:val="none"/>
          <w:lang w:eastAsia="zh-CN" w:bidi="ar"/>
        </w:rPr>
        <w:t>医保服务协议管理</w:t>
      </w:r>
      <w:r>
        <w:rPr>
          <w:rFonts w:ascii="Times New Roman" w:hAnsi="Times New Roman" w:eastAsia="仿宋_GB2312"/>
          <w:color w:val="auto"/>
          <w:sz w:val="32"/>
          <w:szCs w:val="32"/>
          <w:highlight w:val="none"/>
          <w:lang w:bidi="ar"/>
        </w:rPr>
        <w:t>所</w:t>
      </w:r>
      <w:r>
        <w:rPr>
          <w:rFonts w:hint="eastAsia" w:ascii="Times New Roman" w:hAnsi="Times New Roman" w:eastAsia="仿宋_GB2312"/>
          <w:color w:val="auto"/>
          <w:sz w:val="32"/>
          <w:szCs w:val="32"/>
          <w:highlight w:val="none"/>
          <w:lang w:eastAsia="zh-CN" w:bidi="ar"/>
        </w:rPr>
        <w:t>属</w:t>
      </w:r>
      <w:r>
        <w:rPr>
          <w:rFonts w:ascii="Times New Roman" w:hAnsi="Times New Roman" w:eastAsia="仿宋_GB2312"/>
          <w:color w:val="auto"/>
          <w:sz w:val="32"/>
          <w:szCs w:val="32"/>
          <w:highlight w:val="none"/>
          <w:lang w:bidi="ar"/>
        </w:rPr>
        <w:t>市、县（市、区）</w:t>
      </w:r>
      <w:r>
        <w:rPr>
          <w:rFonts w:ascii="Times New Roman" w:hAnsi="Times New Roman" w:eastAsia="仿宋_GB2312"/>
          <w:sz w:val="32"/>
          <w:szCs w:val="32"/>
          <w:highlight w:val="none"/>
          <w:lang w:bidi="ar"/>
        </w:rPr>
        <w:t>医疗保障经办机构申请，申请材料包括：</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（一）申请书，说明申请修改的理由、事实、依据；</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（二）有关证据材料。</w:t>
      </w:r>
    </w:p>
    <w:p>
      <w:pPr>
        <w:spacing w:line="590" w:lineRule="exact"/>
        <w:ind w:firstLine="630"/>
        <w:rPr>
          <w:rFonts w:ascii="Times New Roman" w:hAnsi="Times New Roman" w:eastAsia="仿宋_GB2312"/>
          <w:spacing w:val="-6"/>
          <w:sz w:val="32"/>
          <w:szCs w:val="32"/>
          <w:highlight w:val="none"/>
          <w:lang w:bidi="ar"/>
        </w:rPr>
      </w:pPr>
      <w:r>
        <w:rPr>
          <w:rFonts w:ascii="Times New Roman" w:hAnsi="Times New Roman" w:eastAsia="黑体"/>
          <w:sz w:val="32"/>
          <w:szCs w:val="32"/>
          <w:highlight w:val="none"/>
        </w:rPr>
        <w:t>第十八条</w:t>
      </w:r>
      <w:r>
        <w:rPr>
          <w:rFonts w:ascii="Times New Roman" w:hAnsi="Times New Roman" w:eastAsia="仿宋_GB2312"/>
          <w:sz w:val="32"/>
          <w:szCs w:val="32"/>
          <w:highlight w:val="none"/>
          <w:lang w:bidi="ar"/>
        </w:rPr>
        <w:t xml:space="preserve"> 市、县（市、区）医疗保障经办机构收到信用异议的申请后，按规</w:t>
      </w:r>
      <w:r>
        <w:rPr>
          <w:rFonts w:ascii="Times New Roman" w:hAnsi="Times New Roman" w:eastAsia="仿宋_GB2312"/>
          <w:spacing w:val="-6"/>
          <w:sz w:val="32"/>
          <w:szCs w:val="32"/>
          <w:highlight w:val="none"/>
          <w:lang w:bidi="ar"/>
        </w:rPr>
        <w:t>定对申诉进行调查核实，并于15个工作日内告知申请人。情况复杂的，可适当延长，最长不超过30个工作日。</w:t>
      </w:r>
    </w:p>
    <w:p>
      <w:pPr>
        <w:spacing w:line="590" w:lineRule="exact"/>
        <w:jc w:val="center"/>
        <w:rPr>
          <w:rFonts w:ascii="Times New Roman" w:hAnsi="Times New Roman" w:eastAsia="黑体"/>
          <w:kern w:val="0"/>
          <w:sz w:val="32"/>
          <w:szCs w:val="32"/>
          <w:highlight w:val="none"/>
        </w:rPr>
      </w:pPr>
    </w:p>
    <w:p>
      <w:pPr>
        <w:spacing w:line="590" w:lineRule="exact"/>
        <w:jc w:val="center"/>
        <w:rPr>
          <w:rFonts w:ascii="Times New Roman" w:hAnsi="Times New Roman" w:eastAsia="黑体"/>
          <w:kern w:val="0"/>
          <w:sz w:val="30"/>
          <w:szCs w:val="30"/>
          <w:highlight w:val="none"/>
        </w:rPr>
      </w:pPr>
      <w:r>
        <w:rPr>
          <w:rFonts w:ascii="Times New Roman" w:hAnsi="Times New Roman" w:eastAsia="黑体"/>
          <w:kern w:val="0"/>
          <w:sz w:val="32"/>
          <w:szCs w:val="32"/>
          <w:highlight w:val="none"/>
        </w:rPr>
        <w:t>第四章　评价结果应用</w:t>
      </w:r>
    </w:p>
    <w:p>
      <w:pPr>
        <w:pStyle w:val="7"/>
        <w:spacing w:before="0" w:beforeAutospacing="0" w:after="0" w:afterAutospacing="0" w:line="590" w:lineRule="exact"/>
        <w:rPr>
          <w:rFonts w:ascii="Times New Roman" w:hAnsi="Times New Roman" w:eastAsia="仿宋_GB2312"/>
          <w:sz w:val="32"/>
          <w:szCs w:val="32"/>
          <w:highlight w:val="none"/>
          <w:lang w:bidi="ar"/>
        </w:rPr>
      </w:pPr>
      <w:r>
        <w:rPr>
          <w:rFonts w:ascii="Times New Roman" w:hAnsi="Times New Roman" w:eastAsia="仿宋_GB2312"/>
          <w:sz w:val="30"/>
          <w:szCs w:val="30"/>
          <w:highlight w:val="none"/>
        </w:rPr>
        <w:t>　</w:t>
      </w:r>
      <w:r>
        <w:rPr>
          <w:rFonts w:ascii="Times New Roman" w:hAnsi="Times New Roman" w:eastAsia="仿宋_GB2312"/>
          <w:sz w:val="32"/>
          <w:szCs w:val="32"/>
          <w:highlight w:val="none"/>
          <w:lang w:bidi="ar"/>
        </w:rPr>
        <w:t>　</w:t>
      </w:r>
    </w:p>
    <w:p>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黑体"/>
          <w:sz w:val="32"/>
          <w:szCs w:val="32"/>
          <w:highlight w:val="none"/>
        </w:rPr>
        <w:t>第十九条</w:t>
      </w:r>
      <w:r>
        <w:rPr>
          <w:rFonts w:ascii="Times New Roman" w:hAnsi="Times New Roman" w:eastAsia="楷体_GB2312"/>
          <w:color w:val="000000"/>
          <w:sz w:val="32"/>
          <w:szCs w:val="32"/>
          <w:highlight w:val="none"/>
        </w:rPr>
        <w:t xml:space="preserve"> </w:t>
      </w:r>
      <w:r>
        <w:rPr>
          <w:rFonts w:hint="eastAsia" w:ascii="仿宋_GB2312" w:hAnsi="仿宋_GB2312" w:eastAsia="仿宋_GB2312" w:cs="仿宋_GB2312"/>
          <w:sz w:val="32"/>
          <w:szCs w:val="32"/>
          <w:highlight w:val="none"/>
        </w:rPr>
        <w:t>医疗保障部门根据评定信用等级情况，按照本章规定对不同信用等级的定点医药机构进行管理，将定点医药机构医保信用评价与履约考核、监督检查等相结合。</w:t>
      </w:r>
    </w:p>
    <w:p>
      <w:pPr>
        <w:pStyle w:val="7"/>
        <w:spacing w:before="0" w:beforeAutospacing="0" w:after="0" w:afterAutospacing="0" w:line="590" w:lineRule="exact"/>
        <w:ind w:firstLine="640"/>
        <w:rPr>
          <w:rFonts w:hint="eastAsia" w:ascii="Times New Roman" w:hAnsi="Times New Roman" w:eastAsia="仿宋"/>
          <w:color w:val="FF0000"/>
          <w:sz w:val="32"/>
          <w:szCs w:val="32"/>
          <w:highlight w:val="none"/>
          <w:lang w:eastAsia="zh-CN"/>
        </w:rPr>
      </w:pPr>
      <w:r>
        <w:rPr>
          <w:rFonts w:ascii="Times New Roman" w:hAnsi="Times New Roman" w:eastAsia="黑体"/>
          <w:kern w:val="2"/>
          <w:sz w:val="32"/>
          <w:szCs w:val="32"/>
          <w:highlight w:val="none"/>
        </w:rPr>
        <w:t xml:space="preserve">第二十条 </w:t>
      </w:r>
      <w:r>
        <w:rPr>
          <w:rFonts w:ascii="Times New Roman" w:hAnsi="Times New Roman" w:eastAsia="仿宋"/>
          <w:sz w:val="32"/>
          <w:szCs w:val="32"/>
          <w:highlight w:val="none"/>
        </w:rPr>
        <w:t>对评为A+级的定点医疗机构可按下列规定进行管理：</w:t>
      </w:r>
    </w:p>
    <w:p>
      <w:pPr>
        <w:pStyle w:val="7"/>
        <w:spacing w:before="0" w:beforeAutospacing="0" w:after="0" w:afterAutospacing="0" w:line="590" w:lineRule="exact"/>
        <w:ind w:firstLine="640" w:firstLineChars="200"/>
        <w:rPr>
          <w:rFonts w:ascii="Times New Roman" w:hAnsi="Times New Roman" w:eastAsia="仿宋_GB2312"/>
          <w:strike w:val="0"/>
          <w:color w:val="auto"/>
          <w:sz w:val="32"/>
          <w:szCs w:val="32"/>
          <w:highlight w:val="none"/>
          <w:lang w:bidi="ar"/>
        </w:rPr>
      </w:pPr>
      <w:r>
        <w:rPr>
          <w:rFonts w:ascii="Times New Roman" w:hAnsi="Times New Roman" w:eastAsia="仿宋_GB2312" w:cs="Times New Roman"/>
          <w:strike w:val="0"/>
          <w:color w:val="auto"/>
          <w:sz w:val="32"/>
          <w:szCs w:val="32"/>
          <w:highlight w:val="none"/>
          <w:lang w:bidi="ar"/>
        </w:rPr>
        <w:t>（一）</w:t>
      </w:r>
      <w:r>
        <w:rPr>
          <w:rFonts w:ascii="Times New Roman" w:hAnsi="Times New Roman" w:eastAsia="仿宋_GB2312"/>
          <w:strike w:val="0"/>
          <w:color w:val="auto"/>
          <w:sz w:val="32"/>
          <w:szCs w:val="32"/>
          <w:highlight w:val="none"/>
          <w:lang w:bidi="ar"/>
        </w:rPr>
        <w:t>年度医保质量保证金</w:t>
      </w:r>
      <w:r>
        <w:rPr>
          <w:rFonts w:ascii="Times New Roman" w:hAnsi="Times New Roman" w:eastAsia="仿宋_GB2312" w:cs="Times New Roman"/>
          <w:strike w:val="0"/>
          <w:color w:val="auto"/>
          <w:sz w:val="32"/>
          <w:szCs w:val="32"/>
          <w:highlight w:val="none"/>
          <w:lang w:bidi="ar"/>
        </w:rPr>
        <w:t>按照协议履约考核</w:t>
      </w:r>
      <w:r>
        <w:rPr>
          <w:rFonts w:ascii="Times New Roman" w:hAnsi="Times New Roman" w:eastAsia="仿宋_GB2312"/>
          <w:strike w:val="0"/>
          <w:color w:val="auto"/>
          <w:sz w:val="32"/>
          <w:szCs w:val="32"/>
          <w:highlight w:val="none"/>
          <w:lang w:bidi="ar"/>
        </w:rPr>
        <w:t>结果支付；</w:t>
      </w:r>
    </w:p>
    <w:p>
      <w:pPr>
        <w:pStyle w:val="7"/>
        <w:spacing w:before="0" w:beforeAutospacing="0" w:after="0" w:afterAutospacing="0" w:line="590" w:lineRule="exact"/>
        <w:ind w:firstLine="640" w:firstLineChars="200"/>
        <w:jc w:val="both"/>
        <w:rPr>
          <w:rFonts w:ascii="Times New Roman" w:hAnsi="Times New Roman" w:eastAsia="仿宋"/>
          <w:color w:val="auto"/>
          <w:sz w:val="32"/>
          <w:szCs w:val="32"/>
          <w:highlight w:val="none"/>
        </w:rPr>
      </w:pPr>
      <w:r>
        <w:rPr>
          <w:rFonts w:ascii="Times New Roman" w:hAnsi="Times New Roman" w:eastAsia="仿宋_GB2312"/>
          <w:color w:val="auto"/>
          <w:sz w:val="32"/>
          <w:szCs w:val="32"/>
          <w:highlight w:val="none"/>
          <w:lang w:bidi="ar"/>
        </w:rPr>
        <w:t>（二）</w:t>
      </w:r>
      <w:r>
        <w:rPr>
          <w:rFonts w:ascii="Times New Roman" w:hAnsi="Times New Roman" w:eastAsia="仿宋_GB2312" w:cs="Times New Roman"/>
          <w:color w:val="auto"/>
          <w:sz w:val="32"/>
          <w:szCs w:val="32"/>
          <w:highlight w:val="none"/>
          <w:lang w:bidi="ar"/>
        </w:rPr>
        <w:t>降低日常现场检查频次，</w:t>
      </w:r>
      <w:r>
        <w:rPr>
          <w:rFonts w:ascii="Times New Roman" w:hAnsi="Times New Roman" w:eastAsia="仿宋_GB2312" w:cs="Times New Roman"/>
          <w:color w:val="auto"/>
          <w:kern w:val="0"/>
          <w:sz w:val="32"/>
          <w:szCs w:val="32"/>
          <w:highlight w:val="none"/>
          <w:lang w:bidi="ar"/>
        </w:rPr>
        <w:t>除根据投诉举报、大数据筛查、专项检查部署等进行监督检查外，不另行对其开展检查</w:t>
      </w:r>
      <w:r>
        <w:rPr>
          <w:rFonts w:ascii="Times New Roman" w:hAnsi="Times New Roman" w:eastAsia="仿宋_GB2312" w:cs="Times New Roman"/>
          <w:color w:val="auto"/>
          <w:sz w:val="32"/>
          <w:szCs w:val="32"/>
          <w:highlight w:val="none"/>
          <w:lang w:bidi="ar"/>
        </w:rPr>
        <w:t>；</w:t>
      </w:r>
    </w:p>
    <w:p>
      <w:pPr>
        <w:spacing w:line="590" w:lineRule="exact"/>
        <w:ind w:firstLine="630"/>
        <w:rPr>
          <w:rFonts w:ascii="Times New Roman" w:hAnsi="Times New Roman" w:eastAsia="仿宋_GB2312"/>
          <w:color w:val="FF0000"/>
          <w:sz w:val="32"/>
          <w:szCs w:val="32"/>
          <w:highlight w:val="none"/>
          <w:lang w:bidi="ar"/>
        </w:rPr>
      </w:pPr>
      <w:r>
        <w:rPr>
          <w:rFonts w:ascii="Times New Roman" w:hAnsi="Times New Roman" w:eastAsia="仿宋_GB2312"/>
          <w:color w:val="auto"/>
          <w:sz w:val="32"/>
          <w:szCs w:val="32"/>
          <w:highlight w:val="none"/>
          <w:lang w:bidi="ar"/>
        </w:rPr>
        <w:t>（三）连续两年评定为A+的，第二个评定为A+的年度可免于现场检查；</w:t>
      </w:r>
    </w:p>
    <w:p>
      <w:pPr>
        <w:pStyle w:val="7"/>
        <w:spacing w:before="0" w:beforeAutospacing="0" w:after="0" w:afterAutospacing="0" w:line="590" w:lineRule="exact"/>
        <w:ind w:right="180" w:firstLine="640" w:firstLineChars="200"/>
        <w:jc w:val="both"/>
        <w:rPr>
          <w:rFonts w:ascii="Times New Roman" w:hAnsi="Times New Roman" w:eastAsia="仿宋_GB2312"/>
          <w:kern w:val="2"/>
          <w:sz w:val="32"/>
          <w:szCs w:val="32"/>
          <w:highlight w:val="none"/>
          <w:lang w:bidi="ar"/>
        </w:rPr>
      </w:pPr>
      <w:r>
        <w:rPr>
          <w:rFonts w:ascii="Times New Roman" w:hAnsi="Times New Roman" w:eastAsia="仿宋_GB2312"/>
          <w:kern w:val="2"/>
          <w:sz w:val="32"/>
          <w:szCs w:val="32"/>
          <w:highlight w:val="none"/>
          <w:lang w:bidi="ar"/>
        </w:rPr>
        <w:t>（四）通过医疗保障官方网站等公开平台或其他媒体进行宣传表扬；</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（五）医保评比表彰等予以适当倾斜；</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（六）其他鼓励性措施。</w:t>
      </w:r>
    </w:p>
    <w:p>
      <w:pPr>
        <w:pStyle w:val="7"/>
        <w:spacing w:before="0" w:beforeAutospacing="0" w:after="0" w:afterAutospacing="0" w:line="590" w:lineRule="exact"/>
        <w:ind w:firstLine="640"/>
        <w:rPr>
          <w:rFonts w:ascii="Times New Roman" w:hAnsi="Times New Roman" w:eastAsia="仿宋"/>
          <w:sz w:val="32"/>
          <w:szCs w:val="32"/>
          <w:highlight w:val="none"/>
        </w:rPr>
      </w:pPr>
      <w:r>
        <w:rPr>
          <w:rFonts w:ascii="Times New Roman" w:hAnsi="Times New Roman" w:eastAsia="黑体"/>
          <w:kern w:val="2"/>
          <w:sz w:val="32"/>
          <w:szCs w:val="32"/>
          <w:highlight w:val="none"/>
        </w:rPr>
        <w:t>第二十一条</w:t>
      </w:r>
      <w:r>
        <w:rPr>
          <w:rFonts w:ascii="Times New Roman" w:hAnsi="Times New Roman" w:eastAsia="仿宋"/>
          <w:sz w:val="32"/>
          <w:szCs w:val="32"/>
          <w:highlight w:val="none"/>
        </w:rPr>
        <w:t xml:space="preserve"> 对评为A、B级的定点医疗机构可按下列规定进行管理：</w:t>
      </w:r>
    </w:p>
    <w:p>
      <w:pPr>
        <w:pStyle w:val="7"/>
        <w:spacing w:before="0" w:beforeAutospacing="0" w:after="0" w:afterAutospacing="0" w:line="590" w:lineRule="exact"/>
        <w:ind w:firstLine="640"/>
        <w:rPr>
          <w:rFonts w:ascii="Times New Roman" w:hAnsi="Times New Roman" w:eastAsia="仿宋_GB2312" w:cs="Times New Roman"/>
          <w:strike/>
          <w:color w:val="FF0000"/>
          <w:kern w:val="2"/>
          <w:sz w:val="32"/>
          <w:szCs w:val="32"/>
          <w:highlight w:val="none"/>
          <w:lang w:bidi="ar"/>
        </w:rPr>
      </w:pPr>
      <w:r>
        <w:rPr>
          <w:rFonts w:ascii="Times New Roman" w:hAnsi="Times New Roman" w:eastAsia="仿宋_GB2312" w:cs="Times New Roman"/>
          <w:strike w:val="0"/>
          <w:color w:val="auto"/>
          <w:kern w:val="2"/>
          <w:sz w:val="32"/>
          <w:szCs w:val="32"/>
          <w:highlight w:val="none"/>
          <w:lang w:bidi="ar"/>
        </w:rPr>
        <w:t>（一）年度医保质量保证金A级按照协议履约考核结果支付，B级以协议履约考核扣除金额为基数加扣5%；</w:t>
      </w:r>
    </w:p>
    <w:p>
      <w:pPr>
        <w:pStyle w:val="7"/>
        <w:spacing w:before="0" w:beforeAutospacing="0" w:after="0" w:afterAutospacing="0" w:line="590" w:lineRule="exact"/>
        <w:ind w:firstLine="640"/>
        <w:rPr>
          <w:rFonts w:hint="eastAsia" w:ascii="仿宋_GB2312" w:hAnsi="Calibri" w:eastAsia="仿宋_GB2312" w:cs="仿宋_GB2312"/>
          <w:i w:val="0"/>
          <w:caps w:val="0"/>
          <w:color w:val="424242"/>
          <w:spacing w:val="0"/>
          <w:sz w:val="31"/>
          <w:szCs w:val="31"/>
        </w:rPr>
      </w:pPr>
      <w:r>
        <w:rPr>
          <w:rFonts w:ascii="Times New Roman" w:hAnsi="Times New Roman" w:eastAsia="仿宋_GB2312" w:cs="Times New Roman"/>
          <w:kern w:val="2"/>
          <w:sz w:val="32"/>
          <w:szCs w:val="32"/>
          <w:highlight w:val="none"/>
          <w:lang w:bidi="ar"/>
        </w:rPr>
        <w:t>（二）采取日常检查和专项检查相结合的方式开展监督检查。</w:t>
      </w:r>
    </w:p>
    <w:p>
      <w:pPr>
        <w:pStyle w:val="7"/>
        <w:spacing w:before="0" w:beforeAutospacing="0" w:after="0" w:afterAutospacing="0" w:line="590" w:lineRule="exact"/>
        <w:rPr>
          <w:rFonts w:ascii="Times New Roman" w:hAnsi="Times New Roman" w:eastAsia="仿宋"/>
          <w:sz w:val="32"/>
          <w:szCs w:val="32"/>
          <w:highlight w:val="none"/>
        </w:rPr>
      </w:pPr>
      <w:r>
        <w:rPr>
          <w:rFonts w:ascii="Times New Roman" w:hAnsi="Times New Roman" w:eastAsia="仿宋"/>
          <w:sz w:val="32"/>
          <w:szCs w:val="32"/>
          <w:highlight w:val="none"/>
        </w:rPr>
        <w:t>　　</w:t>
      </w:r>
      <w:r>
        <w:rPr>
          <w:rFonts w:ascii="Times New Roman" w:hAnsi="Times New Roman" w:eastAsia="黑体"/>
          <w:kern w:val="2"/>
          <w:sz w:val="32"/>
          <w:szCs w:val="32"/>
          <w:highlight w:val="none"/>
        </w:rPr>
        <w:t>第二十二条</w:t>
      </w:r>
      <w:r>
        <w:rPr>
          <w:rFonts w:ascii="Times New Roman" w:hAnsi="Times New Roman" w:eastAsia="仿宋"/>
          <w:sz w:val="32"/>
          <w:szCs w:val="32"/>
          <w:highlight w:val="none"/>
        </w:rPr>
        <w:t xml:space="preserve"> 对评为C、C-级的定点医疗机构可按下列规定进行管理：</w:t>
      </w:r>
    </w:p>
    <w:p>
      <w:pPr>
        <w:pStyle w:val="7"/>
        <w:spacing w:before="0" w:beforeAutospacing="0" w:after="0" w:afterAutospacing="0" w:line="590" w:lineRule="exact"/>
        <w:ind w:firstLine="640"/>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strike w:val="0"/>
          <w:color w:val="auto"/>
          <w:sz w:val="32"/>
          <w:szCs w:val="32"/>
          <w:highlight w:val="none"/>
        </w:rPr>
        <w:t>（一）年度医保质量保证金以协议履约考核扣除金额为基数C级加扣10%、C-级加扣15%；</w:t>
      </w:r>
    </w:p>
    <w:p>
      <w:pPr>
        <w:pStyle w:val="7"/>
        <w:spacing w:before="0" w:beforeAutospacing="0" w:after="0" w:afterAutospacing="0" w:line="590" w:lineRule="exact"/>
        <w:ind w:firstLine="640" w:firstLineChars="200"/>
        <w:rPr>
          <w:rFonts w:ascii="Times New Roman" w:hAnsi="Times New Roman" w:eastAsia="仿宋"/>
          <w:color w:val="FF0000"/>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i w:val="0"/>
          <w:caps w:val="0"/>
          <w:color w:val="auto"/>
          <w:spacing w:val="0"/>
          <w:sz w:val="31"/>
          <w:szCs w:val="31"/>
        </w:rPr>
        <w:t>在日常监管中，列为重点预警监管对象</w:t>
      </w:r>
      <w:r>
        <w:rPr>
          <w:rFonts w:hint="eastAsia" w:ascii="仿宋_GB2312" w:hAnsi="仿宋_GB2312" w:eastAsia="仿宋_GB2312" w:cs="仿宋_GB2312"/>
          <w:i w:val="0"/>
          <w:caps w:val="0"/>
          <w:strike w:val="0"/>
          <w:color w:val="auto"/>
          <w:spacing w:val="0"/>
          <w:sz w:val="31"/>
          <w:szCs w:val="31"/>
          <w:lang w:eastAsia="zh-CN"/>
        </w:rPr>
        <w:t>，</w:t>
      </w:r>
      <w:r>
        <w:rPr>
          <w:rFonts w:hint="eastAsia" w:ascii="仿宋_GB2312" w:hAnsi="仿宋_GB2312" w:eastAsia="仿宋_GB2312" w:cs="仿宋_GB2312"/>
          <w:color w:val="auto"/>
          <w:sz w:val="32"/>
          <w:szCs w:val="32"/>
          <w:highlight w:val="none"/>
        </w:rPr>
        <w:t>采取日常检查、定期检查和专项检查相结合的方式开展监督检查。</w:t>
      </w:r>
    </w:p>
    <w:p>
      <w:pPr>
        <w:pStyle w:val="7"/>
        <w:spacing w:before="0" w:beforeAutospacing="0" w:after="0" w:afterAutospacing="0" w:line="590" w:lineRule="exact"/>
        <w:rPr>
          <w:rFonts w:ascii="Times New Roman" w:hAnsi="Times New Roman" w:eastAsia="仿宋"/>
          <w:sz w:val="32"/>
          <w:szCs w:val="32"/>
          <w:highlight w:val="none"/>
        </w:rPr>
      </w:pPr>
      <w:r>
        <w:rPr>
          <w:rFonts w:ascii="Times New Roman" w:hAnsi="Times New Roman" w:eastAsia="仿宋"/>
          <w:sz w:val="32"/>
          <w:szCs w:val="32"/>
          <w:highlight w:val="none"/>
        </w:rPr>
        <w:t>　　</w:t>
      </w:r>
      <w:r>
        <w:rPr>
          <w:rFonts w:ascii="Times New Roman" w:hAnsi="Times New Roman" w:eastAsia="黑体"/>
          <w:kern w:val="2"/>
          <w:sz w:val="32"/>
          <w:szCs w:val="32"/>
          <w:highlight w:val="none"/>
        </w:rPr>
        <w:t>第二十三条</w:t>
      </w:r>
      <w:r>
        <w:rPr>
          <w:rFonts w:ascii="Times New Roman" w:hAnsi="Times New Roman" w:eastAsia="仿宋"/>
          <w:sz w:val="32"/>
          <w:szCs w:val="32"/>
          <w:highlight w:val="none"/>
        </w:rPr>
        <w:t xml:space="preserve"> 对评为D、D-级的定点医疗机构可按下列规定进行管理：</w:t>
      </w:r>
    </w:p>
    <w:p>
      <w:pPr>
        <w:pStyle w:val="7"/>
        <w:numPr>
          <w:ilvl w:val="0"/>
          <w:numId w:val="1"/>
        </w:numPr>
        <w:spacing w:before="0" w:beforeAutospacing="0" w:after="0" w:afterAutospacing="0" w:line="590" w:lineRule="exact"/>
        <w:ind w:firstLine="640" w:firstLineChars="200"/>
        <w:rPr>
          <w:rFonts w:ascii="Times New Roman" w:hAnsi="Times New Roman" w:eastAsia="仿宋"/>
          <w:strike w:val="0"/>
          <w:color w:val="auto"/>
          <w:sz w:val="32"/>
          <w:szCs w:val="32"/>
          <w:highlight w:val="none"/>
        </w:rPr>
      </w:pPr>
      <w:r>
        <w:rPr>
          <w:rFonts w:ascii="Times New Roman" w:hAnsi="Times New Roman" w:eastAsia="仿宋"/>
          <w:strike w:val="0"/>
          <w:color w:val="auto"/>
          <w:sz w:val="32"/>
          <w:szCs w:val="32"/>
          <w:highlight w:val="none"/>
        </w:rPr>
        <w:t>年度医保质量保证金以协议履约考核扣除金额为基数D级加扣20%、D-级加扣25%；</w:t>
      </w:r>
    </w:p>
    <w:p>
      <w:pPr>
        <w:pStyle w:val="7"/>
        <w:spacing w:before="0" w:beforeAutospacing="0" w:after="0" w:afterAutospacing="0" w:line="590" w:lineRule="exact"/>
        <w:ind w:firstLine="640" w:firstLineChars="200"/>
        <w:rPr>
          <w:rFonts w:ascii="Times New Roman" w:hAnsi="Times New Roman" w:eastAsia="仿宋"/>
          <w:strike/>
          <w:color w:val="FF0000"/>
          <w:sz w:val="32"/>
          <w:szCs w:val="32"/>
          <w:highlight w:val="none"/>
        </w:rPr>
      </w:pPr>
      <w:r>
        <w:rPr>
          <w:rFonts w:ascii="Times New Roman" w:hAnsi="Times New Roman" w:eastAsia="仿宋"/>
          <w:strike w:val="0"/>
          <w:color w:val="auto"/>
          <w:sz w:val="32"/>
          <w:szCs w:val="32"/>
          <w:highlight w:val="none"/>
        </w:rPr>
        <w:t>（二）对于年度清算超出总额控制部分不予分担；</w:t>
      </w:r>
    </w:p>
    <w:p>
      <w:pPr>
        <w:pStyle w:val="7"/>
        <w:spacing w:before="0" w:beforeAutospacing="0" w:after="0" w:afterAutospacing="0" w:line="59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（三）列入重点监管对象，加大监管频次，强化定点医疗机构服务人员身份核验管理。</w:t>
      </w:r>
    </w:p>
    <w:p>
      <w:pPr>
        <w:pStyle w:val="7"/>
        <w:spacing w:before="0" w:beforeAutospacing="0" w:after="0" w:afterAutospacing="0" w:line="590" w:lineRule="exact"/>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（四）由经办机构暂停医保服务协议，连续两年被评为D、D-级的，解除服务协议。</w:t>
      </w:r>
    </w:p>
    <w:p>
      <w:pPr>
        <w:spacing w:line="590" w:lineRule="exact"/>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　　</w:t>
      </w:r>
      <w:r>
        <w:rPr>
          <w:rFonts w:ascii="Times New Roman" w:hAnsi="Times New Roman" w:eastAsia="黑体"/>
          <w:sz w:val="32"/>
          <w:szCs w:val="32"/>
          <w:highlight w:val="none"/>
        </w:rPr>
        <w:t>第二十四条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对评为A+级的定点零售药店可按下列规定进行管理：</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（一）降低日常现场检查频次，除根据投诉举报、大数据筛查、专项检查部署进行监督检查外，不另行对其开展现场检查；</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（二）连续两年评定为A+的，第二个评定为A+的年度可免于现场检查；</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（三）通过医疗保障官方网站等公开平台或其他媒体进行宣传表扬；</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（四）医保评比表彰等予以适当倾斜；</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（五）其他鼓励性措施。</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第二十五条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对评为A、B级的定点零售药店可按下列规定进行管理：</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采取日常检查和专项检查相结合的方式开展监督检查。</w:t>
      </w:r>
    </w:p>
    <w:p>
      <w:pPr>
        <w:spacing w:line="590" w:lineRule="exact"/>
        <w:ind w:firstLine="641"/>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第二十六条</w:t>
      </w:r>
      <w:r>
        <w:rPr>
          <w:rFonts w:ascii="Times New Roman" w:hAnsi="Times New Roman" w:eastAsia="仿宋_GB2312"/>
          <w:sz w:val="32"/>
          <w:szCs w:val="32"/>
          <w:highlight w:val="none"/>
          <w:lang w:bidi="ar"/>
        </w:rPr>
        <w:t xml:space="preserve"> 对评为C、C-级的定点零售药店可按下列规定进行管理：</w:t>
      </w:r>
    </w:p>
    <w:p>
      <w:pPr>
        <w:pStyle w:val="7"/>
        <w:spacing w:before="0" w:beforeAutospacing="0" w:after="0" w:afterAutospacing="0" w:line="590" w:lineRule="exact"/>
        <w:ind w:left="180" w:right="180" w:firstLine="640"/>
        <w:jc w:val="both"/>
        <w:rPr>
          <w:rFonts w:ascii="Times New Roman" w:hAnsi="Times New Roman" w:eastAsia="仿宋_GB2312"/>
          <w:sz w:val="32"/>
          <w:szCs w:val="32"/>
          <w:highlight w:val="none"/>
          <w:lang w:bidi="ar"/>
        </w:rPr>
      </w:pPr>
      <w:r>
        <w:rPr>
          <w:rFonts w:ascii="Times New Roman" w:hAnsi="Times New Roman" w:eastAsia="仿宋"/>
          <w:color w:val="333333"/>
          <w:sz w:val="32"/>
          <w:szCs w:val="32"/>
          <w:highlight w:val="none"/>
          <w:shd w:val="clear" w:color="auto" w:fill="FFFFFF"/>
        </w:rPr>
        <w:t>采</w:t>
      </w:r>
      <w:r>
        <w:rPr>
          <w:rFonts w:ascii="Times New Roman" w:hAnsi="Times New Roman" w:eastAsia="仿宋_GB2312"/>
          <w:sz w:val="32"/>
          <w:szCs w:val="32"/>
          <w:highlight w:val="none"/>
          <w:lang w:bidi="ar"/>
        </w:rPr>
        <w:t>取日常检查、定期检查和专项检查相结合的方式开展监督检查。</w:t>
      </w:r>
    </w:p>
    <w:p>
      <w:pPr>
        <w:spacing w:line="590" w:lineRule="exact"/>
        <w:ind w:firstLine="640" w:firstLineChars="20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第二十七条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对评为D、D-级的定点零售药店可按下列规定进行管理：</w:t>
      </w:r>
    </w:p>
    <w:p>
      <w:pPr>
        <w:spacing w:line="590" w:lineRule="exact"/>
        <w:ind w:firstLine="64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（一）列入重点监管对象，加大监管频次；</w:t>
      </w:r>
    </w:p>
    <w:p>
      <w:pPr>
        <w:pStyle w:val="7"/>
        <w:spacing w:before="0" w:beforeAutospacing="0" w:after="0" w:afterAutospacing="0" w:line="590" w:lineRule="exact"/>
        <w:ind w:right="180" w:firstLine="640" w:firstLineChars="2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（二）强化定点零售药店服务人员身份核验管理；</w:t>
      </w:r>
    </w:p>
    <w:p>
      <w:pPr>
        <w:spacing w:line="590" w:lineRule="exact"/>
        <w:ind w:firstLine="64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（三）若同一连锁药店旗下占比10%的分店信用等级为D、D-级，则针对品牌下所有分店进行限期自查整改；</w:t>
      </w:r>
    </w:p>
    <w:p>
      <w:pPr>
        <w:spacing w:line="590" w:lineRule="exact"/>
        <w:ind w:firstLine="64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（四）由经办机构暂停医保服务协议，连续两年被评为D、D-级的，解除服务协议。</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第二十八条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定点医药机构在信用等级评定中有严重弄虚作假行为的，在该评定年度内直接评定为D级。</w:t>
      </w:r>
    </w:p>
    <w:p>
      <w:pPr>
        <w:spacing w:line="590" w:lineRule="exact"/>
        <w:ind w:firstLine="630"/>
        <w:rPr>
          <w:rFonts w:ascii="Times New Roman" w:hAnsi="Times New Roman" w:eastAsia="黑体"/>
          <w:sz w:val="32"/>
          <w:szCs w:val="32"/>
          <w:highlight w:val="none"/>
        </w:rPr>
      </w:pPr>
      <w:r>
        <w:rPr>
          <w:rFonts w:ascii="Times New Roman" w:hAnsi="Times New Roman" w:eastAsia="仿宋_GB2312"/>
          <w:strike w:val="0"/>
          <w:color w:val="auto"/>
          <w:sz w:val="32"/>
          <w:szCs w:val="32"/>
          <w:highlight w:val="none"/>
          <w:lang w:bidi="ar"/>
        </w:rPr>
        <w:t>定点医药机构</w:t>
      </w:r>
      <w:r>
        <w:rPr>
          <w:rFonts w:hint="eastAsia" w:ascii="仿宋_GB2312" w:hAnsi="仿宋_GB2312" w:eastAsia="仿宋_GB2312" w:cs="仿宋_GB2312"/>
          <w:i w:val="0"/>
          <w:caps w:val="0"/>
          <w:strike w:val="0"/>
          <w:color w:val="auto"/>
          <w:spacing w:val="0"/>
          <w:sz w:val="32"/>
          <w:szCs w:val="32"/>
          <w:u w:val="none"/>
        </w:rPr>
        <w:t>具有《国务院关于建立完善守信联合激励和失信联合惩戒制度加快推进社会诚信建设的指导意见》（国发〔2016〕33号）规定的四类严重失信行为信息的，认定为D级或D-级。</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第二十九条</w:t>
      </w:r>
      <w:r>
        <w:rPr>
          <w:rFonts w:ascii="Times New Roman" w:hAnsi="Times New Roman" w:eastAsia="仿宋_GB2312"/>
          <w:sz w:val="32"/>
          <w:szCs w:val="32"/>
          <w:highlight w:val="none"/>
          <w:lang w:bidi="ar"/>
        </w:rPr>
        <w:t xml:space="preserve"> 建立定点医药机构医保信用重点监管制度，结合每年信用评价结果和医保基金监管工作需要，对D级、D-级定点医药机构实行重点监管，依法依规实行联合惩戒。</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第三十条</w:t>
      </w:r>
      <w:r>
        <w:rPr>
          <w:rFonts w:ascii="Times New Roman" w:hAnsi="Times New Roman" w:eastAsia="仿宋_GB2312"/>
          <w:color w:val="FF0000"/>
          <w:sz w:val="32"/>
          <w:szCs w:val="32"/>
          <w:highlight w:val="none"/>
          <w:lang w:bidi="ar"/>
        </w:rPr>
        <w:t xml:space="preserve"> </w:t>
      </w:r>
      <w:r>
        <w:rPr>
          <w:rFonts w:ascii="Times New Roman" w:hAnsi="Times New Roman" w:eastAsia="仿宋_GB2312"/>
          <w:sz w:val="32"/>
          <w:szCs w:val="32"/>
          <w:highlight w:val="none"/>
          <w:lang w:bidi="ar"/>
        </w:rPr>
        <w:t>医疗保障行政部门应当</w:t>
      </w:r>
      <w:r>
        <w:rPr>
          <w:rFonts w:hint="eastAsia" w:ascii="Times New Roman" w:hAnsi="Times New Roman" w:eastAsia="仿宋_GB2312"/>
          <w:sz w:val="32"/>
          <w:szCs w:val="32"/>
          <w:highlight w:val="none"/>
          <w:lang w:eastAsia="zh-CN" w:bidi="ar"/>
        </w:rPr>
        <w:t>按照规定</w:t>
      </w:r>
      <w:r>
        <w:rPr>
          <w:rFonts w:ascii="Times New Roman" w:hAnsi="Times New Roman" w:eastAsia="仿宋_GB2312"/>
          <w:sz w:val="32"/>
          <w:szCs w:val="32"/>
          <w:highlight w:val="none"/>
          <w:lang w:bidi="ar"/>
        </w:rPr>
        <w:t>将医疗保障领域</w:t>
      </w:r>
      <w:r>
        <w:rPr>
          <w:rFonts w:hint="eastAsia" w:ascii="Times New Roman" w:hAnsi="Times New Roman" w:eastAsia="仿宋_GB2312"/>
          <w:sz w:val="32"/>
          <w:szCs w:val="32"/>
          <w:highlight w:val="none"/>
          <w:lang w:eastAsia="zh-CN" w:bidi="ar"/>
        </w:rPr>
        <w:t>具有一定社会影响</w:t>
      </w:r>
      <w:r>
        <w:rPr>
          <w:rFonts w:ascii="Times New Roman" w:hAnsi="Times New Roman" w:eastAsia="仿宋_GB2312"/>
          <w:sz w:val="32"/>
          <w:szCs w:val="32"/>
          <w:highlight w:val="none"/>
          <w:lang w:bidi="ar"/>
        </w:rPr>
        <w:t>的行政处罚信息推送至省公共信用信息平台向社会公开。</w:t>
      </w:r>
    </w:p>
    <w:p>
      <w:pPr>
        <w:pStyle w:val="4"/>
        <w:spacing w:after="0" w:line="590" w:lineRule="exact"/>
        <w:rPr>
          <w:rFonts w:ascii="Times New Roman" w:hAnsi="Times New Roman"/>
          <w:highlight w:val="none"/>
        </w:rPr>
      </w:pPr>
    </w:p>
    <w:p>
      <w:pPr>
        <w:spacing w:line="590" w:lineRule="exact"/>
        <w:jc w:val="center"/>
        <w:rPr>
          <w:rFonts w:ascii="Times New Roman" w:hAnsi="Times New Roman" w:eastAsia="黑体"/>
          <w:sz w:val="32"/>
          <w:szCs w:val="32"/>
          <w:highlight w:val="none"/>
        </w:rPr>
      </w:pPr>
      <w:r>
        <w:rPr>
          <w:rFonts w:ascii="Times New Roman" w:hAnsi="Times New Roman" w:eastAsia="黑体"/>
          <w:sz w:val="32"/>
          <w:szCs w:val="32"/>
          <w:highlight w:val="none"/>
        </w:rPr>
        <w:t>第五章  信用修复</w:t>
      </w:r>
    </w:p>
    <w:p>
      <w:pPr>
        <w:spacing w:line="590" w:lineRule="exact"/>
        <w:ind w:firstLine="630"/>
        <w:rPr>
          <w:rFonts w:ascii="Times New Roman" w:hAnsi="Times New Roman" w:eastAsia="楷体_GB2312"/>
          <w:color w:val="000000"/>
          <w:sz w:val="32"/>
          <w:szCs w:val="32"/>
          <w:highlight w:val="none"/>
        </w:rPr>
      </w:pPr>
    </w:p>
    <w:p>
      <w:pPr>
        <w:spacing w:line="590" w:lineRule="exact"/>
        <w:ind w:firstLine="640" w:firstLineChars="200"/>
        <w:rPr>
          <w:rFonts w:ascii="Times New Roman" w:hAnsi="Times New Roman" w:eastAsia="仿宋_GB2312"/>
          <w:spacing w:val="6"/>
          <w:sz w:val="32"/>
          <w:szCs w:val="32"/>
          <w:highlight w:val="none"/>
        </w:rPr>
      </w:pPr>
      <w:r>
        <w:rPr>
          <w:rFonts w:ascii="Times New Roman" w:hAnsi="Times New Roman" w:eastAsia="黑体"/>
          <w:sz w:val="32"/>
          <w:szCs w:val="32"/>
          <w:highlight w:val="none"/>
        </w:rPr>
        <w:t xml:space="preserve">第三十一条 </w:t>
      </w:r>
      <w:r>
        <w:rPr>
          <w:rFonts w:ascii="Times New Roman" w:hAnsi="Times New Roman" w:eastAsia="仿宋_GB2312" w:cs="Times New Roman"/>
          <w:sz w:val="32"/>
          <w:szCs w:val="32"/>
          <w:highlight w:val="none"/>
        </w:rPr>
        <w:t>信用修复适用于定点医药机构被认定且记入医保信用信息数据库的失信信息的信用修复活动，信用</w:t>
      </w:r>
      <w:r>
        <w:rPr>
          <w:rFonts w:ascii="Times New Roman" w:hAnsi="Times New Roman" w:eastAsia="仿宋_GB2312"/>
          <w:spacing w:val="6"/>
          <w:sz w:val="32"/>
          <w:szCs w:val="32"/>
          <w:highlight w:val="none"/>
        </w:rPr>
        <w:t>修复包括自然修复和依申请修复。</w:t>
      </w:r>
    </w:p>
    <w:p>
      <w:pPr>
        <w:spacing w:line="590" w:lineRule="exact"/>
        <w:ind w:firstLine="640" w:firstLineChars="200"/>
        <w:rPr>
          <w:rFonts w:hint="eastAsia" w:ascii="Times New Roman" w:hAnsi="Times New Roman" w:eastAsia="仿宋_GB2312"/>
          <w:sz w:val="32"/>
          <w:szCs w:val="32"/>
          <w:highlight w:val="none"/>
          <w:lang w:eastAsia="zh-CN"/>
        </w:rPr>
      </w:pPr>
      <w:r>
        <w:rPr>
          <w:rFonts w:ascii="Times New Roman" w:hAnsi="Times New Roman" w:eastAsia="仿宋_GB2312"/>
          <w:color w:val="auto"/>
          <w:sz w:val="32"/>
          <w:szCs w:val="32"/>
          <w:highlight w:val="none"/>
        </w:rPr>
        <w:t>定点医药机构失信信息自认定之日起满</w:t>
      </w:r>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年后不再公示，视为自然修复。</w:t>
      </w:r>
    </w:p>
    <w:p>
      <w:pPr>
        <w:spacing w:line="590" w:lineRule="exact"/>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rPr>
        <w:t>定点医药机构为积极改善自身信用状况，按照规定的条件和程序，向</w:t>
      </w:r>
      <w:r>
        <w:rPr>
          <w:rFonts w:ascii="Times New Roman" w:hAnsi="Times New Roman" w:eastAsia="仿宋_GB2312"/>
          <w:sz w:val="32"/>
          <w:szCs w:val="32"/>
          <w:highlight w:val="none"/>
          <w:lang w:bidi="ar"/>
        </w:rPr>
        <w:t>医疗保障经办机构</w:t>
      </w:r>
      <w:r>
        <w:rPr>
          <w:rFonts w:ascii="Times New Roman" w:hAnsi="Times New Roman" w:eastAsia="仿宋_GB2312"/>
          <w:sz w:val="32"/>
          <w:szCs w:val="32"/>
          <w:highlight w:val="none"/>
        </w:rPr>
        <w:t>提出申请并被确认的，视为依申请修复。</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 xml:space="preserve">第三十二条 </w:t>
      </w:r>
      <w:r>
        <w:rPr>
          <w:rFonts w:ascii="Times New Roman" w:hAnsi="Times New Roman" w:eastAsia="仿宋_GB2312"/>
          <w:sz w:val="32"/>
          <w:szCs w:val="32"/>
          <w:highlight w:val="none"/>
          <w:lang w:bidi="ar"/>
        </w:rPr>
        <w:t>定点医药机构已主动纠正失信行为、消除不良影响、履行处理决定的，可向</w:t>
      </w:r>
      <w:r>
        <w:rPr>
          <w:rFonts w:hint="eastAsia" w:ascii="Times New Roman" w:hAnsi="Times New Roman" w:eastAsia="仿宋_GB2312"/>
          <w:sz w:val="32"/>
          <w:szCs w:val="32"/>
          <w:highlight w:val="none"/>
          <w:lang w:eastAsia="zh-CN" w:bidi="ar"/>
        </w:rPr>
        <w:t>医保服务协议管理所属</w:t>
      </w:r>
      <w:r>
        <w:rPr>
          <w:rFonts w:ascii="Times New Roman" w:hAnsi="Times New Roman" w:eastAsia="仿宋_GB2312"/>
          <w:sz w:val="32"/>
          <w:szCs w:val="32"/>
          <w:highlight w:val="none"/>
          <w:lang w:bidi="ar"/>
        </w:rPr>
        <w:t>市、县（市、区）医疗保障经办机构申请修改，申请材料包括：</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（一）申请书，说明申请修改的理由、事实、依据；</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（二）有关证据材料。</w:t>
      </w:r>
    </w:p>
    <w:p>
      <w:pPr>
        <w:spacing w:line="590" w:lineRule="exact"/>
        <w:ind w:firstLine="630"/>
        <w:rPr>
          <w:rFonts w:ascii="Times New Roman" w:hAnsi="Times New Roman" w:eastAsia="仿宋_GB2312"/>
          <w:spacing w:val="-6"/>
          <w:sz w:val="32"/>
          <w:szCs w:val="32"/>
          <w:highlight w:val="none"/>
          <w:lang w:bidi="ar"/>
        </w:rPr>
      </w:pPr>
      <w:r>
        <w:rPr>
          <w:rFonts w:ascii="Times New Roman" w:hAnsi="Times New Roman" w:eastAsia="黑体"/>
          <w:sz w:val="32"/>
          <w:szCs w:val="32"/>
          <w:highlight w:val="none"/>
        </w:rPr>
        <w:t xml:space="preserve">第三十三条 </w:t>
      </w:r>
      <w:r>
        <w:rPr>
          <w:rFonts w:ascii="Times New Roman" w:hAnsi="Times New Roman" w:eastAsia="仿宋_GB2312"/>
          <w:sz w:val="32"/>
          <w:szCs w:val="32"/>
          <w:highlight w:val="none"/>
          <w:lang w:bidi="ar"/>
        </w:rPr>
        <w:t>市、县（市、区）医疗保障经办机构收到信用修复的</w:t>
      </w:r>
      <w:r>
        <w:rPr>
          <w:rFonts w:ascii="Times New Roman" w:hAnsi="Times New Roman" w:eastAsia="仿宋_GB2312"/>
          <w:spacing w:val="-6"/>
          <w:sz w:val="32"/>
          <w:szCs w:val="32"/>
          <w:highlight w:val="none"/>
          <w:lang w:bidi="ar"/>
        </w:rPr>
        <w:t>申请后，按规定对申请进行调查核实，并于15个工作日内给予回复，情况复杂的，可适当延长，最长不超过30个工作日。</w:t>
      </w:r>
    </w:p>
    <w:p>
      <w:pPr>
        <w:spacing w:line="590" w:lineRule="exact"/>
        <w:jc w:val="center"/>
        <w:rPr>
          <w:rFonts w:ascii="Times New Roman" w:hAnsi="Times New Roman" w:eastAsia="黑体"/>
          <w:kern w:val="0"/>
          <w:sz w:val="32"/>
          <w:szCs w:val="32"/>
          <w:highlight w:val="none"/>
        </w:rPr>
      </w:pPr>
    </w:p>
    <w:p>
      <w:pPr>
        <w:spacing w:line="590" w:lineRule="exact"/>
        <w:jc w:val="center"/>
        <w:rPr>
          <w:rFonts w:ascii="Times New Roman" w:hAnsi="Times New Roman" w:eastAsia="黑体"/>
          <w:kern w:val="0"/>
          <w:sz w:val="32"/>
          <w:szCs w:val="32"/>
          <w:highlight w:val="none"/>
        </w:rPr>
      </w:pPr>
      <w:r>
        <w:rPr>
          <w:rFonts w:ascii="Times New Roman" w:hAnsi="Times New Roman" w:eastAsia="黑体"/>
          <w:kern w:val="0"/>
          <w:sz w:val="32"/>
          <w:szCs w:val="32"/>
          <w:highlight w:val="none"/>
        </w:rPr>
        <w:t>第六章　 附</w:t>
      </w:r>
      <w:r>
        <w:rPr>
          <w:rFonts w:hint="eastAsia" w:ascii="Times New Roman" w:hAnsi="Times New Roman" w:eastAsia="黑体"/>
          <w:kern w:val="0"/>
          <w:sz w:val="32"/>
          <w:szCs w:val="32"/>
          <w:highlight w:val="none"/>
        </w:rPr>
        <w:t xml:space="preserve">  </w:t>
      </w:r>
      <w:r>
        <w:rPr>
          <w:rFonts w:ascii="Times New Roman" w:hAnsi="Times New Roman" w:eastAsia="黑体"/>
          <w:kern w:val="0"/>
          <w:sz w:val="32"/>
          <w:szCs w:val="32"/>
          <w:highlight w:val="none"/>
        </w:rPr>
        <w:t>则</w:t>
      </w:r>
    </w:p>
    <w:p>
      <w:pPr>
        <w:spacing w:line="590" w:lineRule="exact"/>
        <w:ind w:firstLine="630"/>
        <w:rPr>
          <w:rFonts w:ascii="Times New Roman" w:hAnsi="Times New Roman" w:eastAsia="楷体_GB2312"/>
          <w:color w:val="000000"/>
          <w:sz w:val="32"/>
          <w:szCs w:val="32"/>
          <w:highlight w:val="none"/>
        </w:rPr>
      </w:pP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第三十四条</w:t>
      </w:r>
      <w:r>
        <w:rPr>
          <w:rFonts w:ascii="Times New Roman" w:hAnsi="Times New Roman" w:eastAsia="仿宋_GB2312"/>
          <w:sz w:val="32"/>
          <w:szCs w:val="32"/>
          <w:highlight w:val="none"/>
          <w:lang w:bidi="ar"/>
        </w:rPr>
        <w:t xml:space="preserve"> 定点医药机构医保信用等级评价结果自公布之日起至下一评价结果公布之日内有效。</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 xml:space="preserve">第三十五条 </w:t>
      </w:r>
      <w:r>
        <w:rPr>
          <w:rFonts w:ascii="Times New Roman" w:hAnsi="Times New Roman" w:eastAsia="仿宋_GB2312"/>
          <w:sz w:val="32"/>
          <w:szCs w:val="32"/>
          <w:highlight w:val="none"/>
          <w:lang w:bidi="ar"/>
        </w:rPr>
        <w:t>本办法由山东省医疗保障局负责解释。</w:t>
      </w: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黑体"/>
          <w:sz w:val="32"/>
          <w:szCs w:val="32"/>
          <w:highlight w:val="none"/>
        </w:rPr>
        <w:t>第三十六条</w:t>
      </w:r>
      <w:r>
        <w:rPr>
          <w:rFonts w:ascii="Times New Roman" w:hAnsi="Times New Roman" w:eastAsia="楷体_GB2312"/>
          <w:color w:val="000000"/>
          <w:sz w:val="32"/>
          <w:szCs w:val="32"/>
          <w:highlight w:val="none"/>
        </w:rPr>
        <w:t xml:space="preserve"> </w:t>
      </w:r>
      <w:r>
        <w:rPr>
          <w:rFonts w:ascii="Times New Roman" w:hAnsi="Times New Roman" w:eastAsia="仿宋_GB2312"/>
          <w:sz w:val="32"/>
          <w:szCs w:val="32"/>
          <w:highlight w:val="none"/>
          <w:lang w:bidi="ar"/>
        </w:rPr>
        <w:t>本办法自202</w:t>
      </w:r>
      <w:r>
        <w:rPr>
          <w:rFonts w:hint="eastAsia" w:ascii="Times New Roman" w:hAnsi="Times New Roman" w:eastAsia="仿宋_GB2312"/>
          <w:sz w:val="32"/>
          <w:szCs w:val="32"/>
          <w:highlight w:val="none"/>
          <w:lang w:val="en-US" w:eastAsia="zh-CN" w:bidi="ar"/>
        </w:rPr>
        <w:t>5</w:t>
      </w:r>
      <w:r>
        <w:rPr>
          <w:rFonts w:ascii="Times New Roman" w:hAnsi="Times New Roman" w:eastAsia="仿宋_GB2312"/>
          <w:sz w:val="32"/>
          <w:szCs w:val="32"/>
          <w:highlight w:val="none"/>
          <w:lang w:bidi="ar"/>
        </w:rPr>
        <w:t>年</w:t>
      </w:r>
      <w:r>
        <w:rPr>
          <w:rFonts w:hint="eastAsia" w:ascii="Times New Roman" w:hAnsi="Times New Roman" w:eastAsia="仿宋_GB2312"/>
          <w:sz w:val="32"/>
          <w:szCs w:val="32"/>
          <w:highlight w:val="none"/>
          <w:lang w:val="en-US" w:eastAsia="zh-CN" w:bidi="ar"/>
        </w:rPr>
        <w:t xml:space="preserve"> </w:t>
      </w:r>
      <w:r>
        <w:rPr>
          <w:rFonts w:ascii="Times New Roman" w:hAnsi="Times New Roman" w:eastAsia="仿宋_GB2312"/>
          <w:sz w:val="32"/>
          <w:szCs w:val="32"/>
          <w:highlight w:val="none"/>
          <w:lang w:bidi="ar"/>
        </w:rPr>
        <w:t>月</w:t>
      </w:r>
      <w:r>
        <w:rPr>
          <w:rFonts w:hint="eastAsia" w:ascii="Times New Roman" w:hAnsi="Times New Roman" w:eastAsia="仿宋_GB2312"/>
          <w:sz w:val="32"/>
          <w:szCs w:val="32"/>
          <w:highlight w:val="none"/>
          <w:lang w:val="en-US" w:eastAsia="zh-CN" w:bidi="ar"/>
        </w:rPr>
        <w:t xml:space="preserve"> </w:t>
      </w:r>
      <w:r>
        <w:rPr>
          <w:rFonts w:ascii="Times New Roman" w:hAnsi="Times New Roman" w:eastAsia="仿宋_GB2312"/>
          <w:sz w:val="32"/>
          <w:szCs w:val="32"/>
          <w:highlight w:val="none"/>
          <w:lang w:bidi="ar"/>
        </w:rPr>
        <w:t>日起施行。</w:t>
      </w:r>
    </w:p>
    <w:p>
      <w:pPr>
        <w:spacing w:line="590" w:lineRule="exact"/>
        <w:ind w:firstLine="630"/>
        <w:rPr>
          <w:rFonts w:ascii="Times New Roman" w:hAnsi="Times New Roman" w:eastAsia="仿宋_GB2312"/>
          <w:sz w:val="32"/>
          <w:szCs w:val="32"/>
          <w:highlight w:val="none"/>
          <w:lang w:bidi="ar"/>
        </w:rPr>
      </w:pPr>
    </w:p>
    <w:p>
      <w:pPr>
        <w:spacing w:line="590" w:lineRule="exact"/>
        <w:ind w:firstLine="63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附件：1.医保信用等级分级</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2.定点医疗机构医保信用评价指标</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3.定点零售药店医保信用评价指标</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4.定点医药机构医保信用评价报告</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5.定点医药机构医保信用评级告知书</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6.定点医药机构医保信用异议申请书</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7.定点医药机构医保信用修复申请书</w:t>
      </w:r>
    </w:p>
    <w:p>
      <w:pPr>
        <w:spacing w:line="590" w:lineRule="exact"/>
        <w:ind w:firstLine="1600" w:firstLineChars="500"/>
        <w:rPr>
          <w:rFonts w:ascii="Times New Roman" w:hAnsi="Times New Roman" w:eastAsia="仿宋_GB2312"/>
          <w:sz w:val="32"/>
          <w:szCs w:val="32"/>
          <w:highlight w:val="none"/>
          <w:lang w:bidi="ar"/>
        </w:rPr>
      </w:pPr>
      <w:r>
        <w:rPr>
          <w:rFonts w:ascii="Times New Roman" w:hAnsi="Times New Roman" w:eastAsia="仿宋_GB2312"/>
          <w:sz w:val="32"/>
          <w:szCs w:val="32"/>
          <w:highlight w:val="none"/>
          <w:lang w:bidi="ar"/>
        </w:rPr>
        <w:t>8.定点医药机构医保信用修复告知书</w:t>
      </w:r>
    </w:p>
    <w:p>
      <w:pPr>
        <w:widowControl/>
        <w:spacing w:line="600" w:lineRule="exact"/>
        <w:jc w:val="left"/>
        <w:rPr>
          <w:rFonts w:hint="eastAsia" w:ascii="黑体" w:hAnsi="黑体" w:eastAsia="黑体" w:cs="黑体"/>
          <w:sz w:val="32"/>
          <w:szCs w:val="32"/>
          <w:highlight w:val="none"/>
          <w:lang w:bidi="ar"/>
        </w:rPr>
      </w:pPr>
      <w:r>
        <w:rPr>
          <w:rFonts w:hint="eastAsia" w:ascii="仿宋_GB2312" w:hAnsi="仿宋" w:eastAsia="仿宋_GB2312" w:cs="仿宋_GB2312"/>
          <w:sz w:val="32"/>
          <w:szCs w:val="32"/>
          <w:highlight w:val="none"/>
          <w:lang w:bidi="ar"/>
        </w:rPr>
        <w:br w:type="page"/>
      </w:r>
      <w:r>
        <w:rPr>
          <w:rFonts w:hint="eastAsia" w:ascii="黑体" w:hAnsi="黑体" w:eastAsia="黑体" w:cs="黑体"/>
          <w:sz w:val="32"/>
          <w:szCs w:val="32"/>
          <w:highlight w:val="none"/>
          <w:lang w:bidi="ar"/>
        </w:rPr>
        <w:t>附件1</w:t>
      </w:r>
    </w:p>
    <w:p>
      <w:pPr>
        <w:widowControl/>
        <w:spacing w:line="600" w:lineRule="exact"/>
        <w:jc w:val="center"/>
        <w:rPr>
          <w:rFonts w:hint="eastAsia" w:ascii="方正小标宋简体" w:hAnsi="方正小标宋简体" w:eastAsia="方正小标宋简体" w:cs="方正小标宋简体"/>
          <w:sz w:val="44"/>
          <w:szCs w:val="44"/>
          <w:highlight w:val="none"/>
          <w:lang w:bidi="ar"/>
        </w:rPr>
      </w:pPr>
    </w:p>
    <w:p>
      <w:pPr>
        <w:widowControl/>
        <w:spacing w:line="600" w:lineRule="exact"/>
        <w:jc w:val="center"/>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医保信用等级分级</w:t>
      </w:r>
    </w:p>
    <w:tbl>
      <w:tblPr>
        <w:tblStyle w:val="8"/>
        <w:tblW w:w="4999"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0" w:type="dxa"/>
          <w:bottom w:w="0" w:type="dxa"/>
          <w:right w:w="0" w:type="dxa"/>
        </w:tblCellMar>
      </w:tblPr>
      <w:tblGrid>
        <w:gridCol w:w="3752"/>
        <w:gridCol w:w="530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信用等级</w:t>
            </w:r>
          </w:p>
        </w:tc>
        <w:tc>
          <w:tcPr>
            <w:tcW w:w="2927" w:type="pct"/>
            <w:tcBorders>
              <w:left w:val="nil"/>
              <w:bottom w:val="single" w:color="auto" w:sz="6" w:space="0"/>
            </w:tcBorders>
            <w:noWrap w:val="0"/>
            <w:tcMar>
              <w:left w:w="105" w:type="dxa"/>
              <w:right w:w="105" w:type="dxa"/>
            </w:tcMar>
            <w:vAlign w:val="center"/>
          </w:tcPr>
          <w:p>
            <w:pPr>
              <w:spacing w:line="560" w:lineRule="exact"/>
              <w:jc w:val="center"/>
              <w:rPr>
                <w:rFonts w:hint="eastAsia" w:ascii="方正黑体简体" w:hAnsi="方正黑体简体" w:eastAsia="方正黑体简体" w:cs="方正黑体简体"/>
                <w:sz w:val="32"/>
                <w:szCs w:val="32"/>
                <w:highlight w:val="none"/>
              </w:rPr>
            </w:pPr>
            <w:r>
              <w:rPr>
                <w:rFonts w:hint="eastAsia" w:ascii="方正黑体简体" w:hAnsi="方正黑体简体" w:eastAsia="方正黑体简体" w:cs="方正黑体简体"/>
                <w:sz w:val="32"/>
                <w:szCs w:val="32"/>
                <w:highlight w:val="none"/>
              </w:rPr>
              <w:t>分数参考区间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1050分以上</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950-1049分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900—949分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850—899分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C-级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720—849分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072" w:type="pct"/>
            <w:tcBorders>
              <w:top w:val="nil"/>
              <w:bottom w:val="single" w:color="auto" w:sz="6" w:space="0"/>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D级</w:t>
            </w:r>
          </w:p>
        </w:tc>
        <w:tc>
          <w:tcPr>
            <w:tcW w:w="2927" w:type="pct"/>
            <w:tcBorders>
              <w:top w:val="nil"/>
              <w:left w:val="nil"/>
              <w:bottom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650—719分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2072" w:type="pct"/>
            <w:tcBorders>
              <w:top w:val="nil"/>
              <w:right w:val="single" w:color="auto" w:sz="6" w:space="0"/>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D-级</w:t>
            </w:r>
          </w:p>
        </w:tc>
        <w:tc>
          <w:tcPr>
            <w:tcW w:w="2927" w:type="pct"/>
            <w:tcBorders>
              <w:top w:val="nil"/>
              <w:left w:val="nil"/>
            </w:tcBorders>
            <w:noWrap w:val="0"/>
            <w:tcMar>
              <w:left w:w="105" w:type="dxa"/>
              <w:right w:w="105" w:type="dxa"/>
            </w:tcMar>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650分以下</w:t>
            </w:r>
          </w:p>
        </w:tc>
      </w:tr>
    </w:tbl>
    <w:p>
      <w:pPr>
        <w:keepNext w:val="0"/>
        <w:keepLines w:val="0"/>
        <w:pageBreakBefore w:val="0"/>
        <w:kinsoku/>
        <w:overflowPunct/>
        <w:topLinePunct w:val="0"/>
        <w:autoSpaceDE/>
        <w:autoSpaceDN/>
        <w:bidi w:val="0"/>
        <w:spacing w:line="600" w:lineRule="exact"/>
        <w:jc w:val="left"/>
        <w:rPr>
          <w:rFonts w:hint="eastAsia" w:ascii="仿宋_GB2312" w:hAnsi="仿宋" w:eastAsia="仿宋_GB2312" w:cs="仿宋"/>
          <w:sz w:val="28"/>
          <w:szCs w:val="28"/>
        </w:rPr>
      </w:pPr>
    </w:p>
    <w:p>
      <w:pPr>
        <w:widowControl/>
        <w:spacing w:line="600" w:lineRule="exact"/>
        <w:rPr>
          <w:rFonts w:hint="eastAsia" w:ascii="仿宋_GB2312" w:hAnsi="仿宋" w:eastAsia="仿宋_GB2312" w:cs="仿宋_GB2312"/>
          <w:sz w:val="32"/>
          <w:szCs w:val="32"/>
          <w:highlight w:val="none"/>
          <w:lang w:bidi="ar"/>
        </w:rPr>
        <w:sectPr>
          <w:footerReference r:id="rId3" w:type="default"/>
          <w:pgSz w:w="11906" w:h="16838"/>
          <w:pgMar w:top="2098" w:right="1531" w:bottom="1531" w:left="1531" w:header="851" w:footer="992" w:gutter="0"/>
          <w:cols w:space="720" w:num="1"/>
          <w:docGrid w:type="lines" w:linePitch="312" w:charSpace="0"/>
        </w:sectPr>
      </w:pPr>
    </w:p>
    <w:p>
      <w:pPr>
        <w:widowControl/>
        <w:spacing w:line="600" w:lineRule="exact"/>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附件2</w:t>
      </w:r>
    </w:p>
    <w:p>
      <w:pPr>
        <w:widowControl/>
        <w:spacing w:line="600" w:lineRule="exact"/>
        <w:jc w:val="center"/>
        <w:rPr>
          <w:rFonts w:hint="eastAsia" w:ascii="方正小标宋简体" w:hAnsi="方正小标宋简体" w:eastAsia="方正小标宋简体" w:cs="方正小标宋简体"/>
          <w:sz w:val="44"/>
          <w:szCs w:val="44"/>
          <w:highlight w:val="none"/>
          <w:lang w:bidi="ar"/>
        </w:rPr>
      </w:pPr>
    </w:p>
    <w:p>
      <w:pPr>
        <w:widowControl/>
        <w:spacing w:line="600" w:lineRule="exact"/>
        <w:jc w:val="center"/>
        <w:rPr>
          <w:rFonts w:hint="eastAsia" w:ascii="方正小标宋简体" w:hAnsi="方正小标宋简体" w:eastAsia="方正小标宋简体" w:cs="方正小标宋简体"/>
          <w:sz w:val="44"/>
          <w:szCs w:val="44"/>
          <w:highlight w:val="none"/>
          <w:lang w:bidi="ar"/>
        </w:rPr>
      </w:pPr>
      <w:r>
        <w:rPr>
          <w:rFonts w:hint="eastAsia" w:ascii="方正小标宋简体" w:hAnsi="方正小标宋简体" w:eastAsia="方正小标宋简体" w:cs="方正小标宋简体"/>
          <w:sz w:val="44"/>
          <w:szCs w:val="44"/>
          <w:highlight w:val="none"/>
          <w:lang w:bidi="ar"/>
        </w:rPr>
        <w:t>定点医疗机构医保信用评价指标</w:t>
      </w:r>
    </w:p>
    <w:p>
      <w:pPr>
        <w:pStyle w:val="2"/>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highlight w:val="none"/>
          <w:lang w:eastAsia="zh-CN" w:bidi="ar"/>
        </w:rPr>
        <w:t>（推荐指标）</w:t>
      </w:r>
    </w:p>
    <w:tbl>
      <w:tblPr>
        <w:tblStyle w:val="8"/>
        <w:tblW w:w="4675" w:type="pct"/>
        <w:jc w:val="center"/>
        <w:tblLayout w:type="fixed"/>
        <w:tblCellMar>
          <w:top w:w="0" w:type="dxa"/>
          <w:left w:w="108" w:type="dxa"/>
          <w:bottom w:w="0" w:type="dxa"/>
          <w:right w:w="108" w:type="dxa"/>
        </w:tblCellMar>
      </w:tblPr>
      <w:tblGrid>
        <w:gridCol w:w="775"/>
        <w:gridCol w:w="762"/>
        <w:gridCol w:w="613"/>
        <w:gridCol w:w="775"/>
        <w:gridCol w:w="738"/>
        <w:gridCol w:w="6608"/>
        <w:gridCol w:w="838"/>
        <w:gridCol w:w="2144"/>
      </w:tblGrid>
      <w:tr>
        <w:tblPrEx>
          <w:tblCellMar>
            <w:top w:w="0" w:type="dxa"/>
            <w:left w:w="108" w:type="dxa"/>
            <w:bottom w:w="0" w:type="dxa"/>
            <w:right w:w="108" w:type="dxa"/>
          </w:tblCellMar>
        </w:tblPrEx>
        <w:trPr>
          <w:trHeight w:val="540" w:hRule="atLeast"/>
          <w:tblHeader/>
          <w:jc w:val="center"/>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一级指标</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二级指标</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序号</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三级指标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指标性质</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评价内容及要求</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评价方法</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000000"/>
                <w:kern w:val="0"/>
                <w:sz w:val="22"/>
                <w:highlight w:val="none"/>
                <w:lang w:bidi="ar"/>
              </w:rPr>
            </w:pPr>
            <w:r>
              <w:rPr>
                <w:rFonts w:hint="eastAsia" w:ascii="黑体" w:hAnsi="黑体" w:eastAsia="黑体" w:cs="黑体"/>
                <w:color w:val="000000"/>
                <w:kern w:val="0"/>
                <w:sz w:val="22"/>
                <w:highlight w:val="none"/>
                <w:lang w:bidi="ar"/>
              </w:rPr>
              <w:t>评分标准</w:t>
            </w:r>
          </w:p>
        </w:tc>
      </w:tr>
      <w:tr>
        <w:tblPrEx>
          <w:tblCellMar>
            <w:top w:w="0" w:type="dxa"/>
            <w:left w:w="108" w:type="dxa"/>
            <w:bottom w:w="0" w:type="dxa"/>
            <w:right w:w="108" w:type="dxa"/>
          </w:tblCellMar>
        </w:tblPrEx>
        <w:trPr>
          <w:trHeight w:val="810" w:hRule="atLeast"/>
          <w:jc w:val="center"/>
        </w:trPr>
        <w:tc>
          <w:tcPr>
            <w:tcW w:w="292"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基础管理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机构设置</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设立专门机构或者人员负责医疗保障基金使用管理工作。</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达不到要求扣10分。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规章制度</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建立与基本医疗保险管理相适应的内部管理制度，包括医保管理制度、财务制度、统计信息管理制度、医疗质量安全核心制度等。</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每缺一项制度扣5分，最多扣20分。</w:t>
            </w:r>
          </w:p>
        </w:tc>
      </w:tr>
      <w:tr>
        <w:tblPrEx>
          <w:tblCellMar>
            <w:top w:w="0" w:type="dxa"/>
            <w:left w:w="108" w:type="dxa"/>
            <w:bottom w:w="0" w:type="dxa"/>
            <w:right w:w="108" w:type="dxa"/>
          </w:tblCellMar>
        </w:tblPrEx>
        <w:trPr>
          <w:trHeight w:val="108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宣传培训</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①开展医疗保障政策、就医和结算流程等宣传，并提供相关咨询服务，并及时更新宣传内容；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②组织开展医疗保障基金相关制度、政策的培训；</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③参加由医疗保障行政部门或经办机构、稽核机构组织的宣传和培训。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每项达不到要求扣5分。</w:t>
            </w:r>
          </w:p>
        </w:tc>
      </w:tr>
      <w:tr>
        <w:tblPrEx>
          <w:tblCellMar>
            <w:top w:w="0" w:type="dxa"/>
            <w:left w:w="108" w:type="dxa"/>
            <w:bottom w:w="0" w:type="dxa"/>
            <w:right w:w="108" w:type="dxa"/>
          </w:tblCellMar>
        </w:tblPrEx>
        <w:trPr>
          <w:trHeight w:val="435"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信息系统</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①建立专门的信息化管理机构，配备专职人员，制定信息安全管理制度并有效执行，保障网络稳定畅通，严格执行信息保密制度；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②医院HIS系统与医疗保险信息系统有效对接，并采用安全有效隔离措施实现与互联网物理隔离；</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 xml:space="preserve">③医院HIS系统与医保智能监控系统有效对接，并使医保智能监控规则嵌入医院信息系统，并实现应用； </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每项达不到要求扣10分。</w:t>
            </w:r>
          </w:p>
        </w:tc>
      </w:tr>
      <w:tr>
        <w:tblPrEx>
          <w:tblCellMar>
            <w:top w:w="0" w:type="dxa"/>
            <w:left w:w="108" w:type="dxa"/>
            <w:bottom w:w="0" w:type="dxa"/>
            <w:right w:w="108" w:type="dxa"/>
          </w:tblCellMar>
        </w:tblPrEx>
        <w:trPr>
          <w:trHeight w:val="108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收费规定</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①医疗服务项目价格严格按照协议条款执行；</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②执行价格有关法律规定，在收费场所显著位置明码标价；</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w:t>
            </w:r>
            <w:r>
              <w:rPr>
                <w:rFonts w:hint="eastAsia" w:ascii="仿宋_GB2312" w:hAnsi="仿宋_GB2312" w:eastAsia="仿宋_GB2312" w:cs="仿宋_GB2312"/>
                <w:color w:val="auto"/>
                <w:kern w:val="0"/>
                <w:sz w:val="22"/>
                <w:highlight w:val="none"/>
                <w:lang w:bidi="ar"/>
              </w:rPr>
              <w:t>市场调节价</w:t>
            </w:r>
            <w:r>
              <w:rPr>
                <w:rFonts w:hint="eastAsia" w:ascii="仿宋_GB2312" w:hAnsi="仿宋_GB2312" w:eastAsia="仿宋_GB2312" w:cs="仿宋_GB2312"/>
                <w:color w:val="000000"/>
                <w:kern w:val="0"/>
                <w:sz w:val="22"/>
                <w:highlight w:val="none"/>
                <w:lang w:bidi="ar"/>
              </w:rPr>
              <w:t>和自主定价项目应做好知情告知，不得纳入医保支付。</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每项达不到要求扣10分。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医保编码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①及时做好定点医疗机构、医师、护士等医保编码工作，及时入库，动态调整，国家赋码后同步更新；</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②配合做好三目录、费用结算清单等国家统一编码落地实施工作。</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每项达不到要求扣10分。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报送制度</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①按照规定及时准确报送各类统计报表、年度工作总结等；</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②按照规定向医疗保障行政部门报告医疗保障基金使用监督管理所需信息；</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③按照规定向社会公开医药费用、费用结构等信息。</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未按规定报送的，每次扣5分，最多扣15分。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凭证管理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按照规定保管财务账目、会计凭证、处方、病历、治疗检查记录、费用明细、药品和医用耗材出入库记录等资料。</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未按规定保管的，每项扣5分，最多扣40分。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9</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变更备案</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机构名称、执业地址等发生变化时，及时向医疗保障部门提供相关材料备案，申请变更。</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日常抽查</w:t>
            </w:r>
            <w:r>
              <w:rPr>
                <w:rFonts w:hint="eastAsia" w:ascii="仿宋_GB2312" w:hAnsi="仿宋_GB2312" w:eastAsia="仿宋_GB2312" w:cs="仿宋_GB2312"/>
                <w:strike w:val="0"/>
                <w:color w:val="000000"/>
                <w:kern w:val="0"/>
                <w:sz w:val="22"/>
                <w:highlight w:val="none"/>
                <w:lang w:bidi="ar"/>
              </w:rPr>
              <w:br w:type="textWrapping"/>
            </w:r>
            <w:r>
              <w:rPr>
                <w:rFonts w:hint="eastAsia" w:ascii="仿宋_GB2312" w:hAnsi="仿宋_GB2312" w:eastAsia="仿宋_GB2312" w:cs="仿宋_GB2312"/>
                <w:strike w:val="0"/>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strike w:val="0"/>
                <w:color w:val="000000"/>
                <w:kern w:val="0"/>
                <w:sz w:val="22"/>
                <w:highlight w:val="none"/>
                <w:lang w:bidi="ar"/>
              </w:rPr>
            </w:pPr>
            <w:r>
              <w:rPr>
                <w:rFonts w:hint="eastAsia" w:ascii="仿宋_GB2312" w:hAnsi="仿宋_GB2312" w:eastAsia="仿宋_GB2312" w:cs="仿宋_GB2312"/>
                <w:strike w:val="0"/>
                <w:color w:val="000000"/>
                <w:kern w:val="0"/>
                <w:sz w:val="22"/>
                <w:highlight w:val="none"/>
                <w:lang w:bidi="ar"/>
              </w:rPr>
              <w:t>发生变更未按规定办理相关手续的，发现一次扣10分</w:t>
            </w:r>
          </w:p>
        </w:tc>
      </w:tr>
      <w:tr>
        <w:tblPrEx>
          <w:tblCellMar>
            <w:top w:w="0" w:type="dxa"/>
            <w:left w:w="108" w:type="dxa"/>
            <w:bottom w:w="0" w:type="dxa"/>
            <w:right w:w="108" w:type="dxa"/>
          </w:tblCellMar>
        </w:tblPrEx>
        <w:trPr>
          <w:trHeight w:val="13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费用控制</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门诊次均费用增长率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年度门诊次均费用=年度门诊费用总额/年度门诊总人次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门诊次均费用增长率=(本年度门诊次均费用-上年度门诊次均费用)/上年度门诊次均费用×100%</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1.包括门诊统筹和门诊慢特病。</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2.各统筹区根据本地同级定点医疗机构增长率分布情况，从低到高依次平均划分为三个区间，第一区间得满分；第二区间扣10分；第三区间扣20分。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3.对于增长率分布离散程度较大的，划分区间时可剔除部分过高或过低的数据。过低的增长率参照第一区间评分，过高的增长率参照第三区间评分。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门诊目录外自费率=门诊全额自费项目总额/门诊费用总额×100%</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1.包括门诊统筹和门诊慢特病</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2.最小值低优，各统筹区根据本地同级定点医疗机构自费率情况，合理设置一个低位区间，每高于该区间1个百分点扣2分，最多扣30分。</w:t>
            </w:r>
          </w:p>
        </w:tc>
      </w:tr>
      <w:tr>
        <w:tblPrEx>
          <w:tblCellMar>
            <w:top w:w="0" w:type="dxa"/>
            <w:left w:w="108" w:type="dxa"/>
            <w:bottom w:w="0" w:type="dxa"/>
            <w:right w:w="108" w:type="dxa"/>
          </w:tblCellMar>
        </w:tblPrEx>
        <w:trPr>
          <w:trHeight w:val="108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住院次均费用增长率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年度住院次均费用=年度住院费用总额/年度住院总人次</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住院次均费用增长率=(本年度住院次均费用-上年度住院次均费用)/上年度住院次均费用×100%</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1.各统筹区根据本地同级定点医疗机构增长率分布情况，从低到高依次平均划分为三个区间，第一区间得满分；第二区间扣10分；第三区间扣20分。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2.对于增长率分布离散程度较大的，划分区间时可剔除部分过高或过低的数据。过低的增长率参照第一区间评分，过高的增长率参照第三区间评分。</w:t>
            </w:r>
          </w:p>
        </w:tc>
      </w:tr>
      <w:tr>
        <w:tblPrEx>
          <w:tblCellMar>
            <w:top w:w="0" w:type="dxa"/>
            <w:left w:w="108" w:type="dxa"/>
            <w:bottom w:w="0" w:type="dxa"/>
            <w:right w:w="108" w:type="dxa"/>
          </w:tblCellMar>
        </w:tblPrEx>
        <w:trPr>
          <w:trHeight w:val="13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住院率增幅</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住院率=年度出院人次数/年度门诊就医人次数×100%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住院率增幅=丨本年度住院率-上年度住院率丨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1.实际值中优，各统筹区根据本地同级定点医疗机构住院率增幅分布情况，从低到高依次平均划分为三个区间，第一区间得满分；第二区间扣10分；第三区间扣20分。(受政策影响较大的酌情扣分)。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2.对于住院率分布离散程度较大的，划分区间时可剔除部分过高或过低的数据。过低的增幅参照第一区间评分，过高的增幅参照第三区间评分。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住院目录外自费率=住院全额自费项目总额/住院费用总额×100%</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最小值低优，各统筹区根据本地同级定点医疗机构自费率情况，合理设置一个低位区间，每高于该区间1个百分点扣2分，最多扣30分。</w:t>
            </w:r>
          </w:p>
        </w:tc>
      </w:tr>
      <w:tr>
        <w:tblPrEx>
          <w:tblCellMar>
            <w:top w:w="0" w:type="dxa"/>
            <w:left w:w="108" w:type="dxa"/>
            <w:bottom w:w="0" w:type="dxa"/>
            <w:right w:w="108" w:type="dxa"/>
          </w:tblCellMar>
        </w:tblPrEx>
        <w:trPr>
          <w:trHeight w:val="1305"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医疗费用总额增长率=(本年度医疗费用总额-上年度医疗费用总额)/上年度医疗费用总额×100%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排除合理因素(新增就医人次、医疗服务价格调整、重病患者比例高等)影响。</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线上考核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1.医疗费用总额由普通门(急)诊、门诊慢特病、住院费用组成。</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各统筹区根据本地同级定点医疗机构增长率分布情况，从低到高依次平均划分为四个区间，第一区间得满分；第二区间扣10分；第三区间扣20分，第四区间扣30分。原则上，增长率第一区间最低值不应大于本地物价上涨指数。</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3.对于增长率分布离散程度较大的，划分区间时可剔除部分过高或过低的数据。过低的增长率参照第一区间评分，过高的增长率参照第三区间评分。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费用分析制度</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根据要求建立院内医疗费用分析制度，合理科学设置各项指标，定期向医保经办机构说明医疗费用的管控情况。</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未按规定建立的扣5分，未定期向医保经办机构说明的扣5分，最多扣10分。</w:t>
            </w:r>
          </w:p>
        </w:tc>
      </w:tr>
      <w:tr>
        <w:tblPrEx>
          <w:tblCellMar>
            <w:top w:w="0" w:type="dxa"/>
            <w:left w:w="108" w:type="dxa"/>
            <w:bottom w:w="0" w:type="dxa"/>
            <w:right w:w="108" w:type="dxa"/>
          </w:tblCellMar>
        </w:tblPrEx>
        <w:trPr>
          <w:trHeight w:val="4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就医核验</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①对就诊的参保人进行身份识别，查验参保人身份证、医保凭证等，确保人证一致；</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②非经医保经办机构书面授权，不得以任何理由收集、留存参保人员医疗保障有效凭证。</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未按规定执行而出现冒名就医的，每例扣5分；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未按规定收集、留存参保人员医疗保障有效凭证的，每例扣2分。本项最多扣20分。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资格认定</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做好门诊慢特病资格认定和信息备案工作，由专人负责，制定行之有效的门诊慢特病管理制度和工作程序。</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未配备专人负责的扣5分，未按规定建立门诊慢特病管理制度和工作程序的扣15分。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19</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知情同意</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①因住院病情需要使用医保目录外药品或诊疗项目的，应书面告知参保人，严格执行全额自费项目知情同意签字制度；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②能够向参保人员提供门诊、住院费用结算清单和住院日费用清单。</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除急诊、抢救等特殊情形外，自费项目未经参保患者签字同意的每例扣5分，未按规定提供费用清单的每例扣5分。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本项最多扣20分。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处方流转</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严格执行门诊处方外配制度，参保人员要求到定点零售药店购药时，不得以任何理由拒绝，并及时为患者办理必要的门诊处方外配手续。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未按规定执行的不得分，执行不好的视情况扣5分-10分。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异地就医</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按规定对异地就医参保人员提供合理的医疗服务，办理联网结算，与当地参保人一并纳入医保管理服务，执行就医地DRG、DIP支付结算标准，无正当理由不得拒绝为异地参保人员即时结算费用</w:t>
            </w:r>
            <w:r>
              <w:rPr>
                <w:rFonts w:hint="eastAsia" w:ascii="仿宋_GB2312" w:hAnsi="仿宋_GB2312" w:eastAsia="仿宋_GB2312" w:cs="仿宋_GB2312"/>
                <w:color w:val="000000"/>
                <w:kern w:val="0"/>
                <w:sz w:val="22"/>
                <w:highlight w:val="none"/>
                <w:lang w:eastAsia="zh-CN" w:bidi="ar"/>
              </w:rPr>
              <w:t>，并且住院期间外院检查或定点药店购药相关费用应纳入</w:t>
            </w:r>
            <w:r>
              <w:rPr>
                <w:rFonts w:hint="eastAsia" w:ascii="仿宋_GB2312" w:hAnsi="仿宋_GB2312" w:eastAsia="仿宋_GB2312" w:cs="仿宋_GB2312"/>
                <w:color w:val="000000"/>
                <w:kern w:val="0"/>
                <w:sz w:val="22"/>
                <w:highlight w:val="none"/>
                <w:lang w:val="en-US" w:eastAsia="zh-CN" w:bidi="ar"/>
              </w:rPr>
              <w:t>本次住院费用 直接结算</w:t>
            </w:r>
            <w:r>
              <w:rPr>
                <w:rFonts w:hint="eastAsia" w:ascii="仿宋_GB2312" w:hAnsi="仿宋_GB2312" w:eastAsia="仿宋_GB2312" w:cs="仿宋_GB2312"/>
                <w:color w:val="000000"/>
                <w:kern w:val="0"/>
                <w:sz w:val="22"/>
                <w:highlight w:val="none"/>
                <w:lang w:bidi="ar"/>
              </w:rPr>
              <w:t>。</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未按规定执行的，每例扣5分，最多扣20分。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目录维护</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新增药品、医用耗材(含自费项目)的，应按要求提交新增申请材料，经办机构反馈后，及时做好对应维护。</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未按时提交审核备案或做出对应维护的，每次扣5分，最多扣10分。</w:t>
            </w:r>
          </w:p>
        </w:tc>
      </w:tr>
      <w:tr>
        <w:tblPrEx>
          <w:tblCellMar>
            <w:top w:w="0" w:type="dxa"/>
            <w:left w:w="108" w:type="dxa"/>
            <w:bottom w:w="0" w:type="dxa"/>
            <w:right w:w="108" w:type="dxa"/>
          </w:tblCellMar>
        </w:tblPrEx>
        <w:trPr>
          <w:trHeight w:val="7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结算要求</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①按规定的程序和时限，通过日对账正确上传数据，及时向医保经办机构申报医疗费用；</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②协助医保经办机构对参保人员所发生的有疑义的医疗费用进行复核，并按规定时间进行疑点反馈；</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 优化医保结算流程，为参保人员提供便捷的医疗服务，按规定进行医保费用直接结算，提供费用结算单据和相关资料。</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未及时申报医疗费用的，每次扣5分；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未协助医保经办机构稽核的，每次扣5分。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本项最多扣20分。</w:t>
            </w:r>
          </w:p>
        </w:tc>
      </w:tr>
      <w:tr>
        <w:tblPrEx>
          <w:tblCellMar>
            <w:top w:w="0" w:type="dxa"/>
            <w:left w:w="108" w:type="dxa"/>
            <w:bottom w:w="0" w:type="dxa"/>
            <w:right w:w="108" w:type="dxa"/>
          </w:tblCellMar>
        </w:tblPrEx>
        <w:trPr>
          <w:trHeight w:val="13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付费方式</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①按规定开展DRG、DIP付费方式改革；</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②落实协议总额预算控制指标，结合本院实际制定费用控制办法，不能将指标简单分解到科室；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③推行临床路径管理，提高诊疗行为透明度，将费用、患者负担水平等指标定期公开，为参保人就医选择提供参考。</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第①项达不到要求扣10分；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第②③项每一项达不到要求扣5分。</w:t>
            </w:r>
          </w:p>
        </w:tc>
      </w:tr>
      <w:tr>
        <w:tblPrEx>
          <w:tblCellMar>
            <w:top w:w="0" w:type="dxa"/>
            <w:left w:w="108" w:type="dxa"/>
            <w:bottom w:w="0" w:type="dxa"/>
            <w:right w:w="108" w:type="dxa"/>
          </w:tblCellMar>
        </w:tblPrEx>
        <w:trPr>
          <w:trHeight w:val="162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药械集采</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公立医疗机构</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①严格执行集采政策，参加集采工作并按要求报量；</w:t>
            </w:r>
          </w:p>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②畅通中选药品和医用耗材入院渠道，并按时完成约定采购量；</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③严格执行网上采购政策，不得违规网下采购。</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1.一个评价年度内临床需求药品耗材未参加集采工作的扣10分，未完成约定采购量的每个品种扣5分。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2.不严格执行网上采购政策，违规网下采购的扣10分。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本项最多扣40分。</w:t>
            </w:r>
          </w:p>
        </w:tc>
      </w:tr>
      <w:tr>
        <w:tblPrEx>
          <w:tblCellMar>
            <w:top w:w="0" w:type="dxa"/>
            <w:left w:w="108" w:type="dxa"/>
            <w:bottom w:w="0" w:type="dxa"/>
            <w:right w:w="108" w:type="dxa"/>
          </w:tblCellMar>
        </w:tblPrEx>
        <w:trPr>
          <w:trHeight w:val="108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药品管理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①建立健全药品“进、销、存”全流程记录和管理制度、药品供应制度；</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②优先配备使用医保药品，按规定配备国家谈判药品和省谈判药品；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③加强医疗机构药事管理，严格掌握目录内药品限定支付范围并留存用药依据。</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每缺一项制度扣5分；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未优先配备使用集采药品扣10分，未按规定配备谈判药品的扣10分；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医保药品未按限定支付范围使用的，每例扣10分。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本项最多扣40分。</w:t>
            </w:r>
          </w:p>
        </w:tc>
      </w:tr>
      <w:tr>
        <w:tblPrEx>
          <w:tblCellMar>
            <w:top w:w="0" w:type="dxa"/>
            <w:left w:w="108" w:type="dxa"/>
            <w:bottom w:w="0" w:type="dxa"/>
            <w:right w:w="108" w:type="dxa"/>
          </w:tblCellMar>
        </w:tblPrEx>
        <w:trPr>
          <w:trHeight w:val="162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医用耗材</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①取消公立医疗机构医用耗材加成，所有允许单独向患者收费的医用耗材，以实际购进价格“零差率”销售；公立医疗机构不得在实际购进价格之外接受经营者给予的价格折扣或其他形式的折扣。</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②以成本形式打包计入医疗服务价格的医用耗材，不得另行收费；</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③严格执行医用耗材临床使用的事前评估、事中跟踪和事后评价制度；建立高值医用耗材使用分析评价，严格控制高值医用耗材使用比例。</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未取消耗材加成的扣10分，出现接受经营者给予折扣的扣30分；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对打包耗材另行收费的，扣10分；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未执行医用耗材相关临床规定的扣10分。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药款结算</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集采药品耗材全部纳入医保基金与医药企业直接结算，严格按政策规定审核确认应付款项。</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不参加直接结算的扣10分；无故拖延审核确认时间的扣5分，反复出现的扣10分。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29</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挂账处理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被当地医保经办机构拒付的医疗费用、超支分担机制下医疗机构按比例承担费用，应当在规定时限内作相应的财务处理。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未及时做处理的扣20分。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达不到要求扣10分。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配合医疗保障部门开展智能监控审核稽核、履约考核、监督检查等。</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拒绝、阻挠或不配合医疗保障部门开展智能审核、履约考核、监督检查等或者提供虚假情况，扣20分。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服务质量</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就医指导</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公布医保就医流程、设置明显的就医标识；设立医保患者挂号、结算窗口和门诊慢特病、特殊群体专用窗口。</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eastAsia="zh-CN" w:bidi="ar"/>
              </w:rPr>
            </w:pPr>
            <w:r>
              <w:rPr>
                <w:rFonts w:hint="eastAsia" w:ascii="仿宋_GB2312" w:hAnsi="仿宋_GB2312" w:eastAsia="仿宋_GB2312" w:cs="仿宋_GB2312"/>
                <w:color w:val="000000"/>
                <w:kern w:val="0"/>
                <w:sz w:val="22"/>
                <w:highlight w:val="none"/>
                <w:lang w:eastAsia="zh-CN" w:bidi="ar"/>
              </w:rPr>
              <w:t>日常抽查、年度考核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就医流程和标识不明确的扣10分；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无专用服务窗口或专用窗口不能满足需求扣10分。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窗口服务</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窗口工作人员热情耐心接待参保人，礼貌待人，使用规范化服务用语，有问必答，做到首问负责制，耐心做好解释工作。</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eastAsia="zh-CN" w:bidi="ar"/>
              </w:rPr>
            </w:pPr>
            <w:r>
              <w:rPr>
                <w:rFonts w:hint="eastAsia" w:ascii="仿宋_GB2312" w:hAnsi="仿宋_GB2312" w:eastAsia="仿宋_GB2312" w:cs="仿宋_GB2312"/>
                <w:color w:val="000000"/>
                <w:kern w:val="0"/>
                <w:sz w:val="22"/>
                <w:highlight w:val="none"/>
                <w:lang w:eastAsia="zh-CN" w:bidi="ar"/>
              </w:rPr>
              <w:t>投诉举报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eastAsia="zh-CN" w:bidi="ar"/>
              </w:rPr>
              <w:t>因</w:t>
            </w:r>
            <w:r>
              <w:rPr>
                <w:rFonts w:hint="eastAsia" w:ascii="仿宋_GB2312" w:hAnsi="仿宋_GB2312" w:eastAsia="仿宋_GB2312" w:cs="仿宋_GB2312"/>
                <w:color w:val="000000"/>
                <w:kern w:val="0"/>
                <w:sz w:val="22"/>
                <w:highlight w:val="none"/>
                <w:lang w:bidi="ar"/>
              </w:rPr>
              <w:t>服务态度差、接待用语不合规、敷衍推诿病人</w:t>
            </w:r>
            <w:r>
              <w:rPr>
                <w:rFonts w:hint="eastAsia" w:ascii="仿宋_GB2312" w:hAnsi="仿宋_GB2312" w:eastAsia="仿宋_GB2312" w:cs="仿宋_GB2312"/>
                <w:color w:val="000000"/>
                <w:kern w:val="0"/>
                <w:sz w:val="22"/>
                <w:highlight w:val="none"/>
                <w:lang w:eastAsia="zh-CN" w:bidi="ar"/>
              </w:rPr>
              <w:t>等行为，被投诉举报并查实</w:t>
            </w:r>
            <w:r>
              <w:rPr>
                <w:rFonts w:hint="eastAsia" w:ascii="仿宋_GB2312" w:hAnsi="仿宋_GB2312" w:eastAsia="仿宋_GB2312" w:cs="仿宋_GB2312"/>
                <w:color w:val="000000"/>
                <w:kern w:val="0"/>
                <w:sz w:val="22"/>
                <w:highlight w:val="none"/>
                <w:lang w:bidi="ar"/>
              </w:rPr>
              <w:t>的，每项扣5分，最多扣10分。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接诊要求</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执行首诊医师负责制，不得无故拒收、推诿参保人；住院期间不得要求参保人到门诊或药店购药（双通道购药除外）；不得要求住院参保人外购医保目录内药品。</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每一项规定未执行的扣5分，最多扣10分。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病案规范</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①提高病案首页质量，按照国家统一规定规范填写病案首页，加强临床数据标准化、规范化管理，为推广按疾病诊断相关分组付费打牢基础；</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②接诊意外伤害的参保人时，须如实及时完整记录致伤原因和意外受伤的情形。</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随机抽取病历，达不到要求的每例扣5分，最多扣20分。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电子凭证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及时做好系统接口改造，满足参保人使用医保电子凭证就医，以扫码为交互方式，实现在线医保结算。</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达不到要求扣10分。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数据质量</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①确保向医保经办机构传输的参保人就医、结算及其他相关信息均由信息系统自动生成，真实、准确并实时传输，不得人为篡改作假；</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参保人员医疗费用信息上传达不到要求的，每例扣2分；数据未备份扣10分。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应急预案</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制定应急预案，因信息系统出现故障并影响参保人就医结算时，须及时通知医保经办机构并启动应急预案，做好解释工作。</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未制定应急预案的扣5分，未及时启动的扣5分。</w:t>
            </w:r>
          </w:p>
        </w:tc>
      </w:tr>
      <w:tr>
        <w:tblPrEx>
          <w:tblCellMar>
            <w:top w:w="0" w:type="dxa"/>
            <w:left w:w="108" w:type="dxa"/>
            <w:bottom w:w="0" w:type="dxa"/>
            <w:right w:w="108" w:type="dxa"/>
          </w:tblCellMar>
        </w:tblPrEx>
        <w:trPr>
          <w:trHeight w:val="135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39</w:t>
            </w:r>
          </w:p>
        </w:tc>
        <w:tc>
          <w:tcPr>
            <w:tcW w:w="292"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满意度评价</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①满意度测评，采用随机公开的方式，发放满意度测评表，分别对住院参保患者和门诊参保患者满意度进行调查：门诊(住院)参保患者满意度=评价满意的被调查门诊(住院)参保患者人数/接受调查的门诊(住院)参保患者总数×100%</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②利用第三方评价，抽取部分药品、医用耗材供应商，对定点医疗机构结算和履约情况进行调查。</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问卷调查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扣除分值=（1-满意度）×40（分）。</w:t>
            </w:r>
          </w:p>
        </w:tc>
      </w:tr>
      <w:tr>
        <w:tblPrEx>
          <w:tblCellMar>
            <w:top w:w="0" w:type="dxa"/>
            <w:left w:w="108" w:type="dxa"/>
            <w:bottom w:w="0" w:type="dxa"/>
            <w:right w:w="108" w:type="dxa"/>
          </w:tblCellMar>
        </w:tblPrEx>
        <w:trPr>
          <w:trHeight w:val="810" w:hRule="atLeast"/>
          <w:jc w:val="center"/>
        </w:trPr>
        <w:tc>
          <w:tcPr>
            <w:tcW w:w="292"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40</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媒体报道</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本机构被主流媒体报道，经医疗保障部门认可的，按照报道数量赋分。</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根据期内被媒体报道关于医疗保障工作情况的，正面情况每例加10分，最多加20分；</w:t>
            </w:r>
          </w:p>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负面情况每例扣10分，最多扣20分；多家媒体报道同一事件不重复计分。</w:t>
            </w:r>
          </w:p>
        </w:tc>
      </w:tr>
      <w:tr>
        <w:tblPrEx>
          <w:tblCellMar>
            <w:top w:w="0" w:type="dxa"/>
            <w:left w:w="108" w:type="dxa"/>
            <w:bottom w:w="0" w:type="dxa"/>
            <w:right w:w="108" w:type="dxa"/>
          </w:tblCellMar>
        </w:tblPrEx>
        <w:trPr>
          <w:trHeight w:val="270" w:hRule="atLeast"/>
          <w:jc w:val="center"/>
        </w:trPr>
        <w:tc>
          <w:tcPr>
            <w:tcW w:w="292"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协议履行</w:t>
            </w:r>
          </w:p>
        </w:tc>
        <w:tc>
          <w:tcPr>
            <w:tcW w:w="287"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41</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按次数扣分，每次扣50分。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42</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通报</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被医疗保障部门通报的。</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按次数扣分，每次扣100分。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按金额扣分，计算公式为：（追回费用金额/本机构医保基金支付总额）×500分。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按金额扣分，计算公式为：（拒付费用金额/本机构医保基金支付总额）×500分。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按累计月份扣分，不满3个月的扣10分，满3个月不满6个月的扣20分，6个月以上的扣50分。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医保医师处理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被暂停或中止处方权的，取消医疗保障医师资格的。</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按次数扣分，每次扣10分，最多扣50分。</w:t>
            </w:r>
          </w:p>
        </w:tc>
      </w:tr>
      <w:tr>
        <w:tblPrEx>
          <w:tblCellMar>
            <w:top w:w="0" w:type="dxa"/>
            <w:left w:w="108" w:type="dxa"/>
            <w:bottom w:w="0" w:type="dxa"/>
            <w:right w:w="108" w:type="dxa"/>
          </w:tblCellMar>
        </w:tblPrEx>
        <w:trPr>
          <w:trHeight w:val="270" w:hRule="atLeast"/>
          <w:jc w:val="center"/>
        </w:trPr>
        <w:tc>
          <w:tcPr>
            <w:tcW w:w="292"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科室处理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w:t>
            </w:r>
            <w:r>
              <w:rPr>
                <w:rFonts w:hint="eastAsia" w:ascii="仿宋_GB2312" w:hAnsi="仿宋_GB2312" w:eastAsia="仿宋_GB2312" w:cs="仿宋_GB2312"/>
                <w:color w:val="000000"/>
                <w:kern w:val="0"/>
                <w:sz w:val="22"/>
                <w:highlight w:val="none"/>
                <w:lang w:eastAsia="zh-CN" w:bidi="ar"/>
              </w:rPr>
              <w:t>中止</w:t>
            </w:r>
            <w:r>
              <w:rPr>
                <w:rFonts w:hint="eastAsia" w:ascii="仿宋_GB2312" w:hAnsi="仿宋_GB2312" w:eastAsia="仿宋_GB2312" w:cs="仿宋_GB2312"/>
                <w:color w:val="000000"/>
                <w:kern w:val="0"/>
                <w:sz w:val="22"/>
                <w:highlight w:val="none"/>
                <w:lang w:bidi="ar"/>
              </w:rPr>
              <w:t>医疗保障结算的。</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按数量扣分，每次扣10分，最多扣50分。</w:t>
            </w:r>
          </w:p>
        </w:tc>
      </w:tr>
      <w:tr>
        <w:tblPrEx>
          <w:tblCellMar>
            <w:top w:w="0" w:type="dxa"/>
            <w:left w:w="108" w:type="dxa"/>
            <w:bottom w:w="0" w:type="dxa"/>
            <w:right w:w="108" w:type="dxa"/>
          </w:tblCellMar>
        </w:tblPrEx>
        <w:trPr>
          <w:trHeight w:val="638" w:hRule="atLeast"/>
          <w:jc w:val="center"/>
        </w:trPr>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基金监管</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一般处理</w:t>
            </w:r>
          </w:p>
        </w:tc>
        <w:tc>
          <w:tcPr>
            <w:tcW w:w="231"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48</w:t>
            </w:r>
          </w:p>
        </w:tc>
        <w:tc>
          <w:tcPr>
            <w:tcW w:w="292"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278"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被医疗保障部门约谈的。</w:t>
            </w:r>
          </w:p>
        </w:tc>
        <w:tc>
          <w:tcPr>
            <w:tcW w:w="31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按次数扣分，每次扣50分。</w:t>
            </w:r>
          </w:p>
        </w:tc>
      </w:tr>
      <w:tr>
        <w:tblPrEx>
          <w:tblCellMar>
            <w:top w:w="0" w:type="dxa"/>
            <w:left w:w="108" w:type="dxa"/>
            <w:bottom w:w="0" w:type="dxa"/>
            <w:right w:w="108" w:type="dxa"/>
          </w:tblCellMar>
        </w:tblPrEx>
        <w:trPr>
          <w:trHeight w:val="668"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49</w:t>
            </w:r>
          </w:p>
        </w:tc>
        <w:tc>
          <w:tcPr>
            <w:tcW w:w="292"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整改</w:t>
            </w:r>
          </w:p>
        </w:tc>
        <w:tc>
          <w:tcPr>
            <w:tcW w:w="278"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被医疗保障部门责令整改的。</w:t>
            </w:r>
          </w:p>
        </w:tc>
        <w:tc>
          <w:tcPr>
            <w:tcW w:w="31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按次数扣分，每次扣50分。</w:t>
            </w:r>
          </w:p>
        </w:tc>
      </w:tr>
      <w:tr>
        <w:tblPrEx>
          <w:tblCellMar>
            <w:top w:w="0" w:type="dxa"/>
            <w:left w:w="108" w:type="dxa"/>
            <w:bottom w:w="0" w:type="dxa"/>
            <w:right w:w="108" w:type="dxa"/>
          </w:tblCellMar>
        </w:tblPrEx>
        <w:trPr>
          <w:trHeight w:val="994"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231"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50</w:t>
            </w:r>
          </w:p>
        </w:tc>
        <w:tc>
          <w:tcPr>
            <w:tcW w:w="292"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罚款</w:t>
            </w:r>
          </w:p>
        </w:tc>
        <w:tc>
          <w:tcPr>
            <w:tcW w:w="278"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被医疗保障行政部门罚款。</w:t>
            </w:r>
          </w:p>
        </w:tc>
        <w:tc>
          <w:tcPr>
            <w:tcW w:w="31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按金额扣分，计算公式为：（罚款费用金额/本机构医保基金支付总额）×500分。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51</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其他行为</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其他骗取医疗保障基金支出的行为。</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视情况扣除。</w:t>
            </w:r>
          </w:p>
        </w:tc>
      </w:tr>
      <w:tr>
        <w:tblPrEx>
          <w:tblCellMar>
            <w:top w:w="0" w:type="dxa"/>
            <w:left w:w="108" w:type="dxa"/>
            <w:bottom w:w="0" w:type="dxa"/>
            <w:right w:w="108" w:type="dxa"/>
          </w:tblCellMar>
        </w:tblPrEx>
        <w:trPr>
          <w:trHeight w:val="540" w:hRule="atLeast"/>
          <w:jc w:val="center"/>
        </w:trPr>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社会信用</w:t>
            </w:r>
          </w:p>
        </w:tc>
        <w:tc>
          <w:tcPr>
            <w:tcW w:w="2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行政处理</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52</w:t>
            </w:r>
          </w:p>
        </w:tc>
        <w:tc>
          <w:tcPr>
            <w:tcW w:w="29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行政处罚</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被政府有关行政部门给予行政处罚情况。</w:t>
            </w:r>
          </w:p>
        </w:tc>
        <w:tc>
          <w:tcPr>
            <w:tcW w:w="3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按次数扣分，简易程序处罚一次扣15分，一般程序处罚一次扣30分，最多扣180分。</w:t>
            </w:r>
          </w:p>
        </w:tc>
      </w:tr>
      <w:tr>
        <w:tblPrEx>
          <w:tblCellMar>
            <w:top w:w="0" w:type="dxa"/>
            <w:left w:w="108" w:type="dxa"/>
            <w:bottom w:w="0" w:type="dxa"/>
            <w:right w:w="108" w:type="dxa"/>
          </w:tblCellMar>
        </w:tblPrEx>
        <w:trPr>
          <w:trHeight w:val="540" w:hRule="atLeast"/>
          <w:jc w:val="center"/>
        </w:trPr>
        <w:tc>
          <w:tcPr>
            <w:tcW w:w="29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表彰奖励</w:t>
            </w: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受到表彰</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53</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政府表彰</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受到党委、人民政府表彰奖励的。</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县级每次计加5分，市级每次计加10分，省级每次计加20分，国家级每次计加50分。</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54</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医保表彰</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受到医疗保障行政部门通报表扬。</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市级每次计加5分，省级每次计加10分，国家级每次计加20分。</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55</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参与试点改革</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积极参与市级及以上医保试点改革等工作的，受到医疗保障部门认可，并出具相关证明材料。</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市级每次计加10分，省级每次计加20分，国家级每次计加50分。</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56</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药品采购</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属于医保基金结算的药品,非公立医疗机构按照不高于采购平台中标或挂网价向参保人销售。</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每次计加10分。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57</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按照主动回退金额予以加分。</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按金额加分，计算公式为：（主动回退金额/本统筹区所有定点医疗机构自查自纠主动退回金额）×50分。</w:t>
            </w:r>
          </w:p>
        </w:tc>
      </w:tr>
      <w:tr>
        <w:tblPrEx>
          <w:tblCellMar>
            <w:top w:w="0" w:type="dxa"/>
            <w:left w:w="108" w:type="dxa"/>
            <w:bottom w:w="0" w:type="dxa"/>
            <w:right w:w="108" w:type="dxa"/>
          </w:tblCellMar>
        </w:tblPrEx>
        <w:trPr>
          <w:trHeight w:val="270" w:hRule="atLeast"/>
          <w:jc w:val="center"/>
        </w:trPr>
        <w:tc>
          <w:tcPr>
            <w:tcW w:w="29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23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58</w:t>
            </w:r>
          </w:p>
        </w:tc>
        <w:tc>
          <w:tcPr>
            <w:tcW w:w="29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公益活动</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49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c>
          <w:tcPr>
            <w:tcW w:w="31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每次计加5分。</w:t>
            </w:r>
          </w:p>
        </w:tc>
      </w:tr>
      <w:tr>
        <w:tblPrEx>
          <w:tblCellMar>
            <w:top w:w="0" w:type="dxa"/>
            <w:left w:w="108" w:type="dxa"/>
            <w:bottom w:w="0" w:type="dxa"/>
            <w:right w:w="108" w:type="dxa"/>
          </w:tblCellMar>
        </w:tblPrEx>
        <w:trPr>
          <w:trHeight w:val="540" w:hRule="atLeast"/>
          <w:jc w:val="center"/>
        </w:trPr>
        <w:tc>
          <w:tcPr>
            <w:tcW w:w="292"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其他奖励情况</w:t>
            </w:r>
          </w:p>
        </w:tc>
        <w:tc>
          <w:tcPr>
            <w:tcW w:w="231"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59</w:t>
            </w:r>
          </w:p>
        </w:tc>
        <w:tc>
          <w:tcPr>
            <w:tcW w:w="292"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其他奖励情况</w:t>
            </w:r>
          </w:p>
        </w:tc>
        <w:tc>
          <w:tcPr>
            <w:tcW w:w="27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000000" w:sz="4" w:space="0"/>
              <w:left w:val="single" w:color="000000" w:sz="4" w:space="0"/>
              <w:bottom w:val="single" w:color="auto" w:sz="4" w:space="0"/>
              <w:right w:val="single" w:color="000000"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医疗保障部门认定的其他奖励性措施。</w:t>
            </w:r>
          </w:p>
        </w:tc>
        <w:tc>
          <w:tcPr>
            <w:tcW w:w="316" w:type="pct"/>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主动上报</w:t>
            </w:r>
          </w:p>
        </w:tc>
        <w:tc>
          <w:tcPr>
            <w:tcW w:w="809" w:type="pct"/>
            <w:tcBorders>
              <w:top w:val="single" w:color="000000" w:sz="4" w:space="0"/>
              <w:left w:val="single" w:color="000000" w:sz="4" w:space="0"/>
              <w:bottom w:val="single" w:color="auto" w:sz="4" w:space="0"/>
              <w:right w:val="single" w:color="000000"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视情况计加。</w:t>
            </w:r>
          </w:p>
        </w:tc>
      </w:tr>
      <w:tr>
        <w:tblPrEx>
          <w:tblCellMar>
            <w:top w:w="0" w:type="dxa"/>
            <w:left w:w="108" w:type="dxa"/>
            <w:bottom w:w="0" w:type="dxa"/>
            <w:right w:w="108" w:type="dxa"/>
          </w:tblCellMar>
        </w:tblPrEx>
        <w:trPr>
          <w:trHeight w:val="540" w:hRule="atLeast"/>
          <w:jc w:val="center"/>
        </w:trPr>
        <w:tc>
          <w:tcPr>
            <w:tcW w:w="292" w:type="pct"/>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w:t>
            </w:r>
          </w:p>
        </w:tc>
        <w:tc>
          <w:tcPr>
            <w:tcW w:w="28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失信被执行人</w:t>
            </w:r>
          </w:p>
        </w:tc>
        <w:tc>
          <w:tcPr>
            <w:tcW w:w="2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医疗机构或其法人被纳入公共信用系统失信名单的情况。</w:t>
            </w:r>
          </w:p>
        </w:tc>
        <w:tc>
          <w:tcPr>
            <w:tcW w:w="316"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r>
        <w:tblPrEx>
          <w:tblCellMar>
            <w:top w:w="0" w:type="dxa"/>
            <w:left w:w="108" w:type="dxa"/>
            <w:bottom w:w="0" w:type="dxa"/>
            <w:right w:w="108" w:type="dxa"/>
          </w:tblCellMar>
        </w:tblPrEx>
        <w:trPr>
          <w:trHeight w:val="540" w:hRule="atLeast"/>
          <w:jc w:val="center"/>
        </w:trPr>
        <w:tc>
          <w:tcPr>
            <w:tcW w:w="292" w:type="pct"/>
            <w:vMerge w:val="continue"/>
            <w:tcBorders>
              <w:left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tcBorders>
              <w:left w:val="single" w:color="auto" w:sz="4" w:space="0"/>
              <w:bottom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欺诈骗保</w:t>
            </w:r>
          </w:p>
        </w:tc>
        <w:tc>
          <w:tcPr>
            <w:tcW w:w="2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定点医疗机构及其工作人员因欺诈、伪造证明材料或其他手段骗取医疗保障基金或者医疗保障待遇被司法机关追究刑事责任的。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r>
        <w:tblPrEx>
          <w:tblCellMar>
            <w:top w:w="0" w:type="dxa"/>
            <w:left w:w="108" w:type="dxa"/>
            <w:bottom w:w="0" w:type="dxa"/>
            <w:right w:w="108" w:type="dxa"/>
          </w:tblCellMar>
        </w:tblPrEx>
        <w:trPr>
          <w:trHeight w:val="540" w:hRule="atLeast"/>
          <w:jc w:val="center"/>
        </w:trPr>
        <w:tc>
          <w:tcPr>
            <w:tcW w:w="292" w:type="pct"/>
            <w:vMerge w:val="continue"/>
            <w:tcBorders>
              <w:left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解除协议</w:t>
            </w:r>
          </w:p>
        </w:tc>
        <w:tc>
          <w:tcPr>
            <w:tcW w:w="2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被医疗保障部门解除协议的。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r>
        <w:tblPrEx>
          <w:tblCellMar>
            <w:top w:w="0" w:type="dxa"/>
            <w:left w:w="108" w:type="dxa"/>
            <w:bottom w:w="0" w:type="dxa"/>
            <w:right w:w="108" w:type="dxa"/>
          </w:tblCellMar>
        </w:tblPrEx>
        <w:trPr>
          <w:trHeight w:val="540" w:hRule="atLeast"/>
          <w:jc w:val="center"/>
        </w:trPr>
        <w:tc>
          <w:tcPr>
            <w:tcW w:w="292" w:type="pct"/>
            <w:vMerge w:val="continue"/>
            <w:tcBorders>
              <w:left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87" w:type="pct"/>
            <w:vMerge w:val="continue"/>
            <w:tcBorders>
              <w:left w:val="single" w:color="auto" w:sz="4" w:space="0"/>
              <w:bottom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63</w:t>
            </w: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2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医疗机构名称、执业地址等发生变化时，及时向医疗保障部门提供相关材料备案，被发现重大信息发生变更,经医保经办机构责令整改，但未在规定时间内办理重大信息变更的。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r>
        <w:tblPrEx>
          <w:tblCellMar>
            <w:top w:w="0" w:type="dxa"/>
            <w:left w:w="108" w:type="dxa"/>
            <w:bottom w:w="0" w:type="dxa"/>
            <w:right w:w="108" w:type="dxa"/>
          </w:tblCellMar>
        </w:tblPrEx>
        <w:trPr>
          <w:trHeight w:val="540" w:hRule="atLeast"/>
          <w:jc w:val="center"/>
        </w:trPr>
        <w:tc>
          <w:tcPr>
            <w:tcW w:w="292" w:type="pct"/>
            <w:vMerge w:val="continue"/>
            <w:tcBorders>
              <w:left w:val="single" w:color="auto" w:sz="4" w:space="0"/>
              <w:bottom w:val="single" w:color="auto" w:sz="4" w:space="0"/>
              <w:right w:val="single" w:color="auto" w:sz="4" w:space="0"/>
            </w:tcBorders>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2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64</w:t>
            </w:r>
          </w:p>
        </w:tc>
        <w:tc>
          <w:tcPr>
            <w:tcW w:w="29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工作配合</w:t>
            </w:r>
          </w:p>
        </w:tc>
        <w:tc>
          <w:tcPr>
            <w:tcW w:w="27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492"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不配合医疗保障部门开展智能监控审核稽核、履约考核、监督检查等，情节恶劣的。</w:t>
            </w:r>
          </w:p>
        </w:tc>
        <w:tc>
          <w:tcPr>
            <w:tcW w:w="316"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809" w:type="pc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bl>
    <w:p>
      <w:pPr>
        <w:rPr>
          <w:rFonts w:hint="eastAsia" w:ascii="仿宋_GB2312" w:hAnsi="仿宋" w:eastAsia="仿宋_GB2312" w:cs="仿宋_GB2312"/>
          <w:sz w:val="32"/>
          <w:szCs w:val="32"/>
          <w:highlight w:val="none"/>
          <w:lang w:bidi="ar"/>
        </w:rPr>
      </w:pPr>
    </w:p>
    <w:p>
      <w:pPr>
        <w:rPr>
          <w:rFonts w:hint="eastAsia" w:ascii="仿宋_GB2312" w:hAnsi="仿宋" w:eastAsia="仿宋_GB2312" w:cs="仿宋_GB2312"/>
          <w:sz w:val="32"/>
          <w:szCs w:val="32"/>
          <w:highlight w:val="none"/>
          <w:lang w:bidi="ar"/>
        </w:rPr>
      </w:pPr>
    </w:p>
    <w:p>
      <w:pPr>
        <w:widowControl/>
        <w:spacing w:line="600" w:lineRule="exact"/>
        <w:rPr>
          <w:rFonts w:hint="eastAsia" w:ascii="仿宋_GB2312" w:hAnsi="仿宋" w:eastAsia="仿宋_GB2312" w:cs="仿宋_GB2312"/>
          <w:sz w:val="32"/>
          <w:szCs w:val="32"/>
          <w:highlight w:val="none"/>
          <w:lang w:bidi="ar"/>
        </w:rPr>
      </w:pPr>
    </w:p>
    <w:p>
      <w:pPr>
        <w:widowControl/>
        <w:spacing w:line="600" w:lineRule="exact"/>
        <w:rPr>
          <w:rFonts w:hint="eastAsia" w:ascii="黑体" w:hAnsi="黑体" w:eastAsia="黑体" w:cs="黑体"/>
          <w:sz w:val="32"/>
          <w:szCs w:val="32"/>
          <w:highlight w:val="none"/>
          <w:lang w:bidi="ar"/>
        </w:rPr>
      </w:pPr>
      <w:r>
        <w:rPr>
          <w:rFonts w:hint="eastAsia" w:ascii="仿宋_GB2312" w:hAnsi="仿宋" w:eastAsia="仿宋_GB2312" w:cs="仿宋_GB2312"/>
          <w:sz w:val="32"/>
          <w:szCs w:val="32"/>
          <w:highlight w:val="none"/>
          <w:lang w:bidi="ar"/>
        </w:rPr>
        <w:br w:type="page"/>
      </w:r>
      <w:r>
        <w:rPr>
          <w:rFonts w:hint="eastAsia" w:ascii="黑体" w:hAnsi="黑体" w:eastAsia="黑体" w:cs="黑体"/>
          <w:sz w:val="32"/>
          <w:szCs w:val="32"/>
          <w:highlight w:val="none"/>
          <w:lang w:bidi="ar"/>
        </w:rPr>
        <w:t>附件3</w:t>
      </w:r>
    </w:p>
    <w:p>
      <w:pPr>
        <w:jc w:val="center"/>
      </w:pPr>
      <w:r>
        <w:rPr>
          <w:rFonts w:hint="eastAsia" w:ascii="方正小标宋简体" w:hAnsi="方正小标宋简体" w:eastAsia="方正小标宋简体" w:cs="方正小标宋简体"/>
          <w:sz w:val="44"/>
          <w:szCs w:val="44"/>
          <w:highlight w:val="none"/>
          <w:lang w:bidi="ar"/>
        </w:rPr>
        <w:t>定点零售药店医保信用评价指标</w:t>
      </w:r>
    </w:p>
    <w:p>
      <w:pPr>
        <w:pStyle w:val="2"/>
        <w:jc w:val="center"/>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highlight w:val="none"/>
          <w:lang w:eastAsia="zh-CN" w:bidi="ar"/>
        </w:rPr>
        <w:t>（推荐指标）</w:t>
      </w:r>
    </w:p>
    <w:tbl>
      <w:tblPr>
        <w:tblStyle w:val="8"/>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50"/>
        <w:gridCol w:w="613"/>
        <w:gridCol w:w="774"/>
        <w:gridCol w:w="736"/>
        <w:gridCol w:w="6192"/>
        <w:gridCol w:w="661"/>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87" w:type="pct"/>
            <w:noWrap w:val="0"/>
            <w:vAlign w:val="center"/>
          </w:tcPr>
          <w:p>
            <w:pPr>
              <w:widowControl/>
              <w:spacing w:line="600" w:lineRule="exact"/>
              <w:jc w:val="center"/>
              <w:rPr>
                <w:rFonts w:hint="eastAsia" w:ascii="黑体" w:hAnsi="黑体" w:eastAsia="黑体" w:cs="黑体"/>
                <w:color w:val="000000"/>
                <w:kern w:val="0"/>
                <w:sz w:val="22"/>
                <w:highlight w:val="none"/>
                <w:lang w:bidi="ar"/>
              </w:rPr>
            </w:pPr>
          </w:p>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一级指标</w:t>
            </w:r>
          </w:p>
        </w:tc>
        <w:tc>
          <w:tcPr>
            <w:tcW w:w="274"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二级指标</w:t>
            </w:r>
          </w:p>
        </w:tc>
        <w:tc>
          <w:tcPr>
            <w:tcW w:w="224"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序号</w:t>
            </w:r>
          </w:p>
        </w:tc>
        <w:tc>
          <w:tcPr>
            <w:tcW w:w="283"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三级指标</w:t>
            </w:r>
          </w:p>
        </w:tc>
        <w:tc>
          <w:tcPr>
            <w:tcW w:w="269"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指标性质</w:t>
            </w:r>
          </w:p>
        </w:tc>
        <w:tc>
          <w:tcPr>
            <w:tcW w:w="2264"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评价内容及要求</w:t>
            </w:r>
          </w:p>
        </w:tc>
        <w:tc>
          <w:tcPr>
            <w:tcW w:w="242"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评价方法</w:t>
            </w:r>
          </w:p>
        </w:tc>
        <w:tc>
          <w:tcPr>
            <w:tcW w:w="1152" w:type="pct"/>
            <w:noWrap w:val="0"/>
            <w:vAlign w:val="center"/>
          </w:tcPr>
          <w:p>
            <w:pPr>
              <w:widowControl/>
              <w:spacing w:line="600" w:lineRule="exact"/>
              <w:jc w:val="center"/>
              <w:rPr>
                <w:rFonts w:hint="eastAsia" w:ascii="黑体" w:hAnsi="黑体" w:eastAsia="黑体" w:cs="黑体"/>
                <w:color w:val="000000"/>
                <w:sz w:val="22"/>
                <w:highlight w:val="none"/>
              </w:rPr>
            </w:pPr>
            <w:r>
              <w:rPr>
                <w:rFonts w:hint="eastAsia" w:ascii="黑体" w:hAnsi="黑体" w:eastAsia="黑体" w:cs="黑体"/>
                <w:color w:val="000000"/>
                <w:kern w:val="0"/>
                <w:sz w:val="22"/>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restar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协议履行</w:t>
            </w:r>
          </w:p>
        </w:tc>
        <w:tc>
          <w:tcPr>
            <w:tcW w:w="274"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基础管理</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机构设置</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建立健全医保管理服务部门，配备专（兼）职管理人员。</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规章制度</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具有符合医保协议管理要求的医保药品管理制度、财务管理制度、医保人员管理制度、统计信息管理制度和医保费用结算制度。</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每缺一项制度扣5分，最多扣20分。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宣传培训</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Style w:val="12"/>
                <w:rFonts w:ascii="仿宋_GB2312" w:hAnsi="仿宋_GB2312" w:eastAsia="仿宋_GB2312" w:cs="仿宋_GB2312"/>
                <w:highlight w:val="none"/>
                <w:lang w:bidi="ar"/>
              </w:rPr>
              <w:t>①采取多种方式开展医疗保险政策宣传，为参保人员提供咨询服务；</w:t>
            </w:r>
            <w:r>
              <w:rPr>
                <w:rStyle w:val="12"/>
                <w:rFonts w:ascii="仿宋_GB2312" w:hAnsi="仿宋_GB2312" w:eastAsia="仿宋_GB2312" w:cs="仿宋_GB2312"/>
                <w:highlight w:val="none"/>
                <w:lang w:bidi="ar"/>
              </w:rPr>
              <w:br w:type="textWrapping"/>
            </w:r>
            <w:r>
              <w:rPr>
                <w:rStyle w:val="12"/>
                <w:rFonts w:ascii="仿宋_GB2312" w:hAnsi="仿宋_GB2312" w:eastAsia="仿宋_GB2312" w:cs="仿宋_GB2312"/>
                <w:highlight w:val="none"/>
                <w:lang w:bidi="ar"/>
              </w:rPr>
              <w:t>②应当组织医保管理人员参加由医疗保障行政部门或经办机构、稽核机构组织的宣传和培训；</w:t>
            </w:r>
            <w:r>
              <w:rPr>
                <w:rStyle w:val="12"/>
                <w:rFonts w:ascii="仿宋_GB2312" w:hAnsi="仿宋_GB2312" w:eastAsia="仿宋_GB2312" w:cs="仿宋_GB2312"/>
                <w:highlight w:val="none"/>
                <w:lang w:bidi="ar"/>
              </w:rPr>
              <w:br w:type="textWrapping"/>
            </w:r>
            <w:r>
              <w:rPr>
                <w:rStyle w:val="12"/>
                <w:rFonts w:ascii="仿宋_GB2312" w:hAnsi="仿宋_GB2312" w:eastAsia="仿宋_GB2312" w:cs="仿宋_GB2312"/>
                <w:highlight w:val="none"/>
                <w:lang w:bidi="ar"/>
              </w:rPr>
              <w:t>③应当组织开展医疗保障基金相关制度、政策的培训。</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每项达不到要求扣5分。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4</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信息系统</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①指定专人负责医保信息系统管理，明确工作职责，合理设置管理权限；</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②具备符合医保协议管理要求的信息系统技术和接口标准，实现与医保信息系统有效对接，为参保人员提供直接联网结算，建立医保药品等基础数据库，按规定使用国家统一医保编码；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做好与医保有关的信息系统安全保障工作，遵守数据安全有关制度，保护参保人员隐私。定点零售药店重新安装信息系统时，应当保持信息系统技术接口标准与医保信息系统有效对接，并按规定及时全面准确向医保信息系统传送医保结算和审核所需的有关数据；</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④按照规定通过医疗保障信息系统传送医疗保障基金使用有关数据。</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每项达不到要求扣10分。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5</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收费规定</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①提供药品服务时应核对参保人员有效身份凭证，做到人证相符。特殊情况下为他人代购药品的应出示本人和被代购人身份证；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②按照公平、合理、诚实信用和质价相符的原则确定销售价格，遵守药品价格政策；</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③为参保人员提供医保药品费用直接结算单据和相关资料，参保人员或购药人应在购药清单上签字确认；</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④凭外配处方购药的，应核验处方使用人与参保人员身份是否一致。</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每项达不到要求扣10分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6</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报送制度</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①按照规定向医疗保障行政部门报告医疗保障基金使用监督管理所需信息；</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每项达不到要求扣10分。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7</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凭证管理</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按照规定保管财务账目、会计凭证、处方、费用明细、药品和医用耗材出入库记录等资料。</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未按规定保管的，每次扣10分，最多扣30分。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8</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处方管理</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①应当凭处方销售医保目录内处方药，药师应当对处方进行审核、签字后调剂配发药品；</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②应凭定点医疗机构开具的外配处方销售药品、外配处方必须由定点医疗机构医师开具，有医师签章；</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③应将参保人员医保目录内药品外配处方、购药清单等保存2年，以备医疗保障部门核查。</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每项达不到要求扣10分。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9</w:t>
            </w:r>
          </w:p>
        </w:tc>
        <w:tc>
          <w:tcPr>
            <w:tcW w:w="283" w:type="pct"/>
            <w:noWrap w:val="0"/>
            <w:vAlign w:val="center"/>
          </w:tcPr>
          <w:p>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变更备案</w:t>
            </w:r>
          </w:p>
        </w:tc>
        <w:tc>
          <w:tcPr>
            <w:tcW w:w="269" w:type="pct"/>
            <w:noWrap w:val="0"/>
            <w:vAlign w:val="center"/>
          </w:tcPr>
          <w:p>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定点零售药店名称、执业地址等发生变化时，及时向医疗保障部门提供相关材料备案，申请变更。</w:t>
            </w:r>
          </w:p>
        </w:tc>
        <w:tc>
          <w:tcPr>
            <w:tcW w:w="242" w:type="pct"/>
            <w:noWrap w:val="0"/>
            <w:vAlign w:val="center"/>
          </w:tcPr>
          <w:p>
            <w:pPr>
              <w:widowControl/>
              <w:jc w:val="center"/>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日常抽查</w:t>
            </w:r>
            <w:r>
              <w:rPr>
                <w:rFonts w:hint="eastAsia" w:ascii="仿宋_GB2312" w:hAnsi="仿宋_GB2312" w:eastAsia="仿宋_GB2312" w:cs="仿宋_GB2312"/>
                <w:strike w:val="0"/>
                <w:color w:val="000000"/>
                <w:kern w:val="0"/>
                <w:sz w:val="22"/>
                <w:highlight w:val="none"/>
                <w:lang w:bidi="ar"/>
              </w:rPr>
              <w:br w:type="textWrapping"/>
            </w:r>
            <w:r>
              <w:rPr>
                <w:rFonts w:hint="eastAsia" w:ascii="仿宋_GB2312" w:hAnsi="仿宋_GB2312" w:eastAsia="仿宋_GB2312" w:cs="仿宋_GB2312"/>
                <w:strike w:val="0"/>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strike w:val="0"/>
                <w:color w:val="000000"/>
                <w:sz w:val="22"/>
                <w:highlight w:val="none"/>
              </w:rPr>
            </w:pPr>
            <w:r>
              <w:rPr>
                <w:rFonts w:hint="eastAsia" w:ascii="仿宋_GB2312" w:hAnsi="仿宋_GB2312" w:eastAsia="仿宋_GB2312" w:cs="仿宋_GB2312"/>
                <w:strike w:val="0"/>
                <w:color w:val="000000"/>
                <w:kern w:val="0"/>
                <w:sz w:val="22"/>
                <w:highlight w:val="none"/>
                <w:lang w:bidi="ar"/>
              </w:rPr>
              <w:t>发生变更未按规定办理相关手续的，发现一次扣10分。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10</w:t>
            </w:r>
          </w:p>
        </w:tc>
        <w:tc>
          <w:tcPr>
            <w:tcW w:w="283"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自查自纠</w:t>
            </w:r>
          </w:p>
        </w:tc>
        <w:tc>
          <w:tcPr>
            <w:tcW w:w="269"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定期检查本单位医疗保障基金使用情况，及时纠正医疗保障基金使用不规范的行为。</w:t>
            </w:r>
          </w:p>
        </w:tc>
        <w:tc>
          <w:tcPr>
            <w:tcW w:w="242"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11</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配合医疗保障部门开展智能监控审核稽核、履约考核、监督检查等。</w:t>
            </w:r>
          </w:p>
        </w:tc>
        <w:tc>
          <w:tcPr>
            <w:tcW w:w="242"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拒绝、阻挠或不配合医疗保障部门开展智能审核、履约考核、监督检查等或者提供虚假情况，扣20分。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服务质量</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12</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数据质量</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①确保向医疗保障经办机构传输的参保人员就医、结算及其他相关信息均由信息系统自动生成，真实、准确并实时传输；</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②严格执行信息网络管理有关规定，做好数据备份；</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③传输数据不得人为篡改作假。</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①②达不到要求每项扣5分；</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③达不到要求扣20分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13</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应急预案</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制定应急预案，因信息系统出现故障并影响参保人员就医结算时，须及时通知医疗保障经办机构并启动应急预案，做好解释工作。</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达不到要求扣10分。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14</w:t>
            </w:r>
          </w:p>
        </w:tc>
        <w:tc>
          <w:tcPr>
            <w:tcW w:w="283" w:type="pct"/>
            <w:noWrap w:val="0"/>
            <w:vAlign w:val="center"/>
          </w:tcPr>
          <w:p>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满意度评价</w:t>
            </w:r>
          </w:p>
        </w:tc>
        <w:tc>
          <w:tcPr>
            <w:tcW w:w="269" w:type="pct"/>
            <w:noWrap w:val="0"/>
            <w:vAlign w:val="center"/>
          </w:tcPr>
          <w:p>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参保患者满意度=评价满意的被调查参保患者人数/接受调查的参保患者总数×100% 。</w:t>
            </w:r>
          </w:p>
        </w:tc>
        <w:tc>
          <w:tcPr>
            <w:tcW w:w="242" w:type="pct"/>
            <w:noWrap w:val="0"/>
            <w:vAlign w:val="center"/>
          </w:tcPr>
          <w:p>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日常抽查</w:t>
            </w:r>
            <w:r>
              <w:rPr>
                <w:rFonts w:hint="eastAsia" w:ascii="仿宋_GB2312" w:hAnsi="仿宋_GB2312" w:eastAsia="仿宋_GB2312" w:cs="仿宋_GB2312"/>
                <w:kern w:val="0"/>
                <w:sz w:val="22"/>
                <w:highlight w:val="none"/>
                <w:lang w:bidi="ar"/>
              </w:rPr>
              <w:br w:type="textWrapping"/>
            </w:r>
            <w:r>
              <w:rPr>
                <w:rFonts w:hint="eastAsia" w:ascii="仿宋_GB2312" w:hAnsi="仿宋_GB2312" w:eastAsia="仿宋_GB2312" w:cs="仿宋_GB2312"/>
                <w:kern w:val="0"/>
                <w:sz w:val="22"/>
                <w:highlight w:val="none"/>
                <w:lang w:bidi="ar"/>
              </w:rPr>
              <w:t>问卷调查</w:t>
            </w:r>
          </w:p>
        </w:tc>
        <w:tc>
          <w:tcPr>
            <w:tcW w:w="1152" w:type="pct"/>
            <w:noWrap w:val="0"/>
            <w:vAlign w:val="center"/>
          </w:tcPr>
          <w:p>
            <w:pPr>
              <w:widowControl/>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kern w:val="0"/>
                <w:sz w:val="22"/>
                <w:highlight w:val="none"/>
                <w:lang w:bidi="ar"/>
              </w:rPr>
              <w:t>扣除分值=（1-满意度）×40（分）。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15</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媒体报道</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按本机构被主流媒体报道，经医疗保障部门认可的，按照报道数量赋分。</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根据期内被媒体报道关于医疗保障工作情况的，正面情况每例加10分，最多加20分；负面情况每例扣10分，最多扣20分；多家媒体报道同一事件不重复计分。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16</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严格执行医保服务协议的各项条款。</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年度考核</w:t>
            </w:r>
          </w:p>
        </w:tc>
        <w:tc>
          <w:tcPr>
            <w:tcW w:w="1152"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视情况扣除。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restart"/>
            <w:noWrap/>
            <w:vAlign w:val="center"/>
          </w:tcPr>
          <w:p>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协议履行</w:t>
            </w:r>
          </w:p>
        </w:tc>
        <w:tc>
          <w:tcPr>
            <w:tcW w:w="274" w:type="pct"/>
            <w:vMerge w:val="restart"/>
            <w:noWrap w:val="0"/>
            <w:vAlign w:val="center"/>
          </w:tcPr>
          <w:p>
            <w:pPr>
              <w:tabs>
                <w:tab w:val="left" w:pos="389"/>
              </w:tabs>
              <w:jc w:val="left"/>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ab/>
            </w:r>
            <w:r>
              <w:rPr>
                <w:rFonts w:hint="eastAsia" w:ascii="仿宋_GB2312" w:hAnsi="仿宋_GB2312" w:eastAsia="仿宋_GB2312" w:cs="仿宋_GB2312"/>
                <w:color w:val="000000"/>
                <w:sz w:val="22"/>
                <w:highlight w:val="none"/>
              </w:rPr>
              <w:t>协议处理</w:t>
            </w: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17</w:t>
            </w:r>
          </w:p>
        </w:tc>
        <w:tc>
          <w:tcPr>
            <w:tcW w:w="283"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约谈</w:t>
            </w:r>
          </w:p>
        </w:tc>
        <w:tc>
          <w:tcPr>
            <w:tcW w:w="269"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被医疗保障经办机构约谈的。</w:t>
            </w:r>
          </w:p>
        </w:tc>
        <w:tc>
          <w:tcPr>
            <w:tcW w:w="242"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按次数扣分，每次扣50分。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strike/>
                <w:color w:val="000000"/>
                <w:sz w:val="22"/>
                <w:highlight w:val="red"/>
              </w:rPr>
            </w:pPr>
          </w:p>
        </w:tc>
        <w:tc>
          <w:tcPr>
            <w:tcW w:w="274" w:type="pct"/>
            <w:vMerge w:val="continue"/>
            <w:noWrap w:val="0"/>
            <w:vAlign w:val="center"/>
          </w:tcPr>
          <w:p>
            <w:pPr>
              <w:jc w:val="center"/>
              <w:rPr>
                <w:rFonts w:hint="eastAsia" w:ascii="仿宋_GB2312" w:hAnsi="仿宋_GB2312" w:eastAsia="仿宋_GB2312" w:cs="仿宋_GB2312"/>
                <w:strike/>
                <w:color w:val="000000"/>
                <w:sz w:val="22"/>
                <w:highlight w:val="red"/>
              </w:rPr>
            </w:pPr>
          </w:p>
        </w:tc>
        <w:tc>
          <w:tcPr>
            <w:tcW w:w="224" w:type="pct"/>
            <w:noWrap w:val="0"/>
            <w:vAlign w:val="center"/>
          </w:tcPr>
          <w:p>
            <w:pPr>
              <w:widowControl/>
              <w:jc w:val="center"/>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18</w:t>
            </w:r>
          </w:p>
        </w:tc>
        <w:tc>
          <w:tcPr>
            <w:tcW w:w="283" w:type="pct"/>
            <w:noWrap w:val="0"/>
            <w:vAlign w:val="center"/>
          </w:tcPr>
          <w:p>
            <w:pPr>
              <w:widowControl/>
              <w:jc w:val="left"/>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通报</w:t>
            </w:r>
          </w:p>
        </w:tc>
        <w:tc>
          <w:tcPr>
            <w:tcW w:w="269" w:type="pct"/>
            <w:noWrap w:val="0"/>
            <w:vAlign w:val="center"/>
          </w:tcPr>
          <w:p>
            <w:pPr>
              <w:widowControl/>
              <w:jc w:val="left"/>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被医疗保障部门通报的。</w:t>
            </w:r>
          </w:p>
        </w:tc>
        <w:tc>
          <w:tcPr>
            <w:tcW w:w="242" w:type="pct"/>
            <w:noWrap w:val="0"/>
            <w:vAlign w:val="center"/>
          </w:tcPr>
          <w:p>
            <w:pPr>
              <w:widowControl/>
              <w:jc w:val="left"/>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strike w:val="0"/>
                <w:color w:val="auto"/>
                <w:kern w:val="0"/>
                <w:sz w:val="22"/>
                <w:highlight w:val="none"/>
                <w:lang w:bidi="ar"/>
              </w:rPr>
            </w:pPr>
            <w:r>
              <w:rPr>
                <w:rFonts w:hint="eastAsia" w:ascii="仿宋_GB2312" w:hAnsi="仿宋_GB2312" w:eastAsia="仿宋_GB2312" w:cs="仿宋_GB2312"/>
                <w:strike w:val="0"/>
                <w:color w:val="auto"/>
                <w:kern w:val="0"/>
                <w:sz w:val="22"/>
                <w:highlight w:val="none"/>
                <w:lang w:bidi="ar"/>
              </w:rPr>
              <w:t>按次数扣分，每次扣100分。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19</w:t>
            </w:r>
          </w:p>
        </w:tc>
        <w:tc>
          <w:tcPr>
            <w:tcW w:w="283"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追回费用</w:t>
            </w:r>
          </w:p>
        </w:tc>
        <w:tc>
          <w:tcPr>
            <w:tcW w:w="269"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被医疗保障经办机构追回费用。</w:t>
            </w:r>
          </w:p>
        </w:tc>
        <w:tc>
          <w:tcPr>
            <w:tcW w:w="242"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按金额扣分，计算公式为：（追回费用金额/本药店医保基金支付总额）×500分。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20</w:t>
            </w:r>
          </w:p>
        </w:tc>
        <w:tc>
          <w:tcPr>
            <w:tcW w:w="283"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拒付费用</w:t>
            </w:r>
          </w:p>
        </w:tc>
        <w:tc>
          <w:tcPr>
            <w:tcW w:w="269"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被医疗保障经办机构拒付费用。</w:t>
            </w:r>
          </w:p>
        </w:tc>
        <w:tc>
          <w:tcPr>
            <w:tcW w:w="242"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按金额扣分，计算公式为：（拒付费用金额/本药店基金支付总额）×500分。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21</w:t>
            </w:r>
          </w:p>
        </w:tc>
        <w:tc>
          <w:tcPr>
            <w:tcW w:w="283"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暂停结算</w:t>
            </w:r>
          </w:p>
        </w:tc>
        <w:tc>
          <w:tcPr>
            <w:tcW w:w="269"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被医保经办机构暂停结算的。</w:t>
            </w:r>
          </w:p>
        </w:tc>
        <w:tc>
          <w:tcPr>
            <w:tcW w:w="242"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按数量扣分，每次扣10分，最多扣50分。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22</w:t>
            </w:r>
          </w:p>
        </w:tc>
        <w:tc>
          <w:tcPr>
            <w:tcW w:w="283"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中止协议</w:t>
            </w:r>
          </w:p>
        </w:tc>
        <w:tc>
          <w:tcPr>
            <w:tcW w:w="269"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被医疗保障部门中止协议的。</w:t>
            </w:r>
          </w:p>
        </w:tc>
        <w:tc>
          <w:tcPr>
            <w:tcW w:w="242" w:type="pct"/>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按累计月份扣分，不满3个月的扣10分，满3个月不满6个月的扣20分，6个月以上的扣50分。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基金监管</w:t>
            </w:r>
          </w:p>
        </w:tc>
        <w:tc>
          <w:tcPr>
            <w:tcW w:w="274"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一般处理</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23</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约谈</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被医疗保障部门约谈的。</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按次数扣分，每次扣50分。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24</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整改</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被医疗保障部门责令整改的。</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按次数扣分，每次扣50分。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25</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罚款</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被医疗保障行政部门罚款。</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按金额扣分，计算公式为：（罚款费用金额/本药店医保基金支付总额）×500分。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26</w:t>
            </w:r>
          </w:p>
        </w:tc>
        <w:tc>
          <w:tcPr>
            <w:tcW w:w="283"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其他行为</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其他骗取医疗保障基金支出的行为。</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1152"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视情况扣除。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noWrap w:val="0"/>
            <w:vAlign w:val="center"/>
          </w:tcPr>
          <w:p>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社会信用</w:t>
            </w:r>
          </w:p>
        </w:tc>
        <w:tc>
          <w:tcPr>
            <w:tcW w:w="274"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行政处理</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27</w:t>
            </w:r>
          </w:p>
        </w:tc>
        <w:tc>
          <w:tcPr>
            <w:tcW w:w="283"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行政处罚</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被政府有关行政部门给予行政处罚情况。</w:t>
            </w:r>
          </w:p>
        </w:tc>
        <w:tc>
          <w:tcPr>
            <w:tcW w:w="242"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按次数扣分，简易程序处罚一次扣15分，一般程序处罚一次扣30分，最多扣180分。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表彰奖励</w:t>
            </w:r>
          </w:p>
        </w:tc>
        <w:tc>
          <w:tcPr>
            <w:tcW w:w="274"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受到表彰</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28</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政府表彰</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受到党委、人民政府表彰奖励的。</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主动上报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县级每次计加5分，市级每次计加10分，省级每次计加20分，国家级每次计加50分。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29</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医保表彰</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受到医疗保障行政部门通报表扬。</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主动上报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市级每次计加5分，省级每次计加10分，国家级每次计加20分。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vMerge w:val="restar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30</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参与试点改革</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积极参与市级医保试点改革等工作的，受到医疗保障部门认可，并出具相关证明材料。</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主动上报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市级每次计加10分，省级每次计加20分，国家级每次计加50分。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center"/>
          </w:tcPr>
          <w:p>
            <w:pPr>
              <w:widowControl/>
              <w:jc w:val="center"/>
              <w:textAlignment w:val="center"/>
              <w:rPr>
                <w:rFonts w:hint="eastAsia" w:ascii="仿宋_GB2312" w:hAnsi="仿宋_GB2312" w:eastAsia="仿宋_GB2312" w:cs="仿宋_GB2312"/>
                <w:color w:val="000000"/>
                <w:sz w:val="22"/>
                <w:highlight w:val="none"/>
              </w:rPr>
            </w:pPr>
          </w:p>
        </w:tc>
        <w:tc>
          <w:tcPr>
            <w:tcW w:w="274" w:type="pct"/>
            <w:vMerge w:val="continue"/>
            <w:noWrap w:val="0"/>
            <w:vAlign w:val="center"/>
          </w:tcPr>
          <w:p>
            <w:pPr>
              <w:widowControl/>
              <w:jc w:val="center"/>
              <w:textAlignment w:val="center"/>
              <w:rPr>
                <w:rFonts w:hint="eastAsia" w:ascii="仿宋_GB2312" w:hAnsi="仿宋_GB2312" w:eastAsia="仿宋_GB2312" w:cs="仿宋_GB2312"/>
                <w:color w:val="000000"/>
                <w:sz w:val="22"/>
                <w:highlight w:val="none"/>
              </w:rPr>
            </w:pP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31</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自查自纠</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定量</w:t>
            </w:r>
          </w:p>
        </w:tc>
        <w:tc>
          <w:tcPr>
            <w:tcW w:w="2264"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按照主动回退金额予以奖励。</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主动上报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按金额加分，计算公式为：（主动回退金额/本统筹区所有定点零售药店自查自纠主动退回金额）×50分。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32</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公益活动</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定量</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主动参加医疗保障部门组织的公益活动，受到医疗保障部门认可。</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主动上报</w:t>
            </w:r>
          </w:p>
        </w:tc>
        <w:tc>
          <w:tcPr>
            <w:tcW w:w="1152"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每次计加5分。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center"/>
          </w:tcPr>
          <w:p>
            <w:pPr>
              <w:jc w:val="center"/>
              <w:rPr>
                <w:rFonts w:hint="eastAsia" w:ascii="仿宋_GB2312" w:hAnsi="仿宋_GB2312" w:eastAsia="仿宋_GB2312" w:cs="仿宋_GB2312"/>
                <w:color w:val="000000"/>
                <w:sz w:val="22"/>
                <w:highlight w:val="none"/>
              </w:rPr>
            </w:pPr>
          </w:p>
        </w:tc>
        <w:tc>
          <w:tcPr>
            <w:tcW w:w="27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其他奖励情况</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33</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其他奖励情况</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医疗保障部门认定的其他奖励性措施。</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主动上报</w:t>
            </w:r>
          </w:p>
        </w:tc>
        <w:tc>
          <w:tcPr>
            <w:tcW w:w="1152"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视情况计加。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restart"/>
            <w:noWrap w:val="0"/>
            <w:vAlign w:val="center"/>
          </w:tcPr>
          <w:p>
            <w:pPr>
              <w:jc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一票否决</w:t>
            </w:r>
          </w:p>
        </w:tc>
        <w:tc>
          <w:tcPr>
            <w:tcW w:w="27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224"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34</w:t>
            </w:r>
          </w:p>
        </w:tc>
        <w:tc>
          <w:tcPr>
            <w:tcW w:w="283"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失信被执行人</w:t>
            </w:r>
          </w:p>
        </w:tc>
        <w:tc>
          <w:tcPr>
            <w:tcW w:w="269" w:type="pct"/>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2264" w:type="pct"/>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定点零售药店或其法人被纳入公共信用系统失信“黑名单”的情况。</w:t>
            </w:r>
          </w:p>
        </w:tc>
        <w:tc>
          <w:tcPr>
            <w:tcW w:w="242" w:type="pct"/>
            <w:noWrap/>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1152" w:type="pct"/>
            <w:noWrap/>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一票否决，扣360分。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top"/>
          </w:tcPr>
          <w:p>
            <w:pPr>
              <w:jc w:val="center"/>
              <w:rPr>
                <w:rFonts w:hint="eastAsia" w:ascii="仿宋_GB2312" w:hAnsi="仿宋_GB2312" w:eastAsia="仿宋_GB2312" w:cs="仿宋_GB2312"/>
                <w:color w:val="000000"/>
                <w:sz w:val="22"/>
                <w:highlight w:val="none"/>
              </w:rPr>
            </w:pPr>
          </w:p>
        </w:tc>
        <w:tc>
          <w:tcPr>
            <w:tcW w:w="274" w:type="pct"/>
            <w:noWrap w:val="0"/>
            <w:vAlign w:val="center"/>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司法处理</w:t>
            </w:r>
          </w:p>
        </w:tc>
        <w:tc>
          <w:tcPr>
            <w:tcW w:w="613"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35</w:t>
            </w:r>
          </w:p>
        </w:tc>
        <w:tc>
          <w:tcPr>
            <w:tcW w:w="775"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欺诈骗保</w:t>
            </w:r>
          </w:p>
        </w:tc>
        <w:tc>
          <w:tcPr>
            <w:tcW w:w="737"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6188" w:type="dxa"/>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定点零售药店及其工作人员因欺诈、伪造证明材料或其他手段骗取医疗保障基金或者医疗保障待遇被司法机关追究刑事责任的。</w:t>
            </w:r>
          </w:p>
        </w:tc>
        <w:tc>
          <w:tcPr>
            <w:tcW w:w="662"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3150" w:type="dxa"/>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一票否决，扣360分。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top"/>
          </w:tcPr>
          <w:p>
            <w:pPr>
              <w:jc w:val="center"/>
              <w:rPr>
                <w:rFonts w:hint="eastAsia" w:ascii="仿宋_GB2312" w:hAnsi="仿宋_GB2312" w:eastAsia="仿宋_GB2312" w:cs="仿宋_GB2312"/>
                <w:color w:val="000000"/>
                <w:sz w:val="22"/>
                <w:highlight w:val="none"/>
              </w:rPr>
            </w:pPr>
          </w:p>
        </w:tc>
        <w:tc>
          <w:tcPr>
            <w:tcW w:w="274" w:type="pct"/>
            <w:vMerge w:val="restart"/>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协议处理</w:t>
            </w:r>
          </w:p>
        </w:tc>
        <w:tc>
          <w:tcPr>
            <w:tcW w:w="613"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36</w:t>
            </w:r>
          </w:p>
        </w:tc>
        <w:tc>
          <w:tcPr>
            <w:tcW w:w="775"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解除协议</w:t>
            </w:r>
          </w:p>
        </w:tc>
        <w:tc>
          <w:tcPr>
            <w:tcW w:w="737"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6188" w:type="dxa"/>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被医疗保障部门解除协议的。</w:t>
            </w:r>
          </w:p>
        </w:tc>
        <w:tc>
          <w:tcPr>
            <w:tcW w:w="662"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日常抽查</w:t>
            </w:r>
          </w:p>
        </w:tc>
        <w:tc>
          <w:tcPr>
            <w:tcW w:w="3150" w:type="dxa"/>
            <w:noWrap w:val="0"/>
            <w:vAlign w:val="center"/>
          </w:tcPr>
          <w:p>
            <w:pPr>
              <w:widowControl/>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一票否决，扣360分。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top"/>
          </w:tcPr>
          <w:p>
            <w:pPr>
              <w:jc w:val="center"/>
              <w:rPr>
                <w:rFonts w:hint="eastAsia" w:ascii="仿宋_GB2312" w:hAnsi="仿宋_GB2312" w:eastAsia="仿宋_GB2312" w:cs="仿宋_GB2312"/>
                <w:color w:val="000000"/>
                <w:sz w:val="22"/>
                <w:highlight w:val="none"/>
              </w:rPr>
            </w:pPr>
          </w:p>
        </w:tc>
        <w:tc>
          <w:tcPr>
            <w:tcW w:w="274" w:type="pct"/>
            <w:vMerge w:val="continue"/>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p>
        </w:tc>
        <w:tc>
          <w:tcPr>
            <w:tcW w:w="613"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37</w:t>
            </w:r>
          </w:p>
        </w:tc>
        <w:tc>
          <w:tcPr>
            <w:tcW w:w="775" w:type="dxa"/>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变更备案</w:t>
            </w:r>
          </w:p>
        </w:tc>
        <w:tc>
          <w:tcPr>
            <w:tcW w:w="737" w:type="dxa"/>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定性</w:t>
            </w:r>
          </w:p>
        </w:tc>
        <w:tc>
          <w:tcPr>
            <w:tcW w:w="6188" w:type="dxa"/>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机构名称、执业地址等发生变化时，及时向医疗保障部门提供相关材料备案，被发现重大信息发生变更,但未在规定时间内办理重大信息变更的。</w:t>
            </w:r>
          </w:p>
        </w:tc>
        <w:tc>
          <w:tcPr>
            <w:tcW w:w="662" w:type="dxa"/>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3150" w:type="dxa"/>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7" w:type="pct"/>
            <w:vMerge w:val="continue"/>
            <w:noWrap w:val="0"/>
            <w:vAlign w:val="top"/>
          </w:tcPr>
          <w:p>
            <w:pPr>
              <w:jc w:val="center"/>
              <w:rPr>
                <w:rFonts w:hint="eastAsia" w:ascii="仿宋_GB2312" w:hAnsi="仿宋_GB2312" w:eastAsia="仿宋_GB2312" w:cs="仿宋_GB2312"/>
                <w:color w:val="000000"/>
                <w:sz w:val="22"/>
                <w:highlight w:val="none"/>
              </w:rPr>
            </w:pPr>
          </w:p>
        </w:tc>
        <w:tc>
          <w:tcPr>
            <w:tcW w:w="751" w:type="dxa"/>
            <w:noWrap w:val="0"/>
            <w:vAlign w:val="top"/>
          </w:tcPr>
          <w:p>
            <w:pPr>
              <w:widowControl/>
              <w:jc w:val="center"/>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行为规范</w:t>
            </w:r>
          </w:p>
        </w:tc>
        <w:tc>
          <w:tcPr>
            <w:tcW w:w="613"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sz w:val="22"/>
                <w:highlight w:val="none"/>
              </w:rPr>
              <w:t>38</w:t>
            </w:r>
          </w:p>
        </w:tc>
        <w:tc>
          <w:tcPr>
            <w:tcW w:w="775"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工作配合</w:t>
            </w:r>
          </w:p>
        </w:tc>
        <w:tc>
          <w:tcPr>
            <w:tcW w:w="737" w:type="dxa"/>
            <w:noWrap w:val="0"/>
            <w:vAlign w:val="center"/>
          </w:tcPr>
          <w:p>
            <w:pPr>
              <w:widowControl/>
              <w:jc w:val="center"/>
              <w:textAlignment w:val="center"/>
              <w:rPr>
                <w:rFonts w:hint="eastAsia" w:ascii="仿宋_GB2312" w:hAnsi="仿宋_GB2312" w:eastAsia="仿宋_GB2312" w:cs="仿宋_GB2312"/>
                <w:color w:val="000000"/>
                <w:sz w:val="22"/>
                <w:highlight w:val="none"/>
              </w:rPr>
            </w:pPr>
            <w:r>
              <w:rPr>
                <w:rFonts w:hint="eastAsia" w:ascii="仿宋_GB2312" w:hAnsi="仿宋_GB2312" w:eastAsia="仿宋_GB2312" w:cs="仿宋_GB2312"/>
                <w:color w:val="000000"/>
                <w:kern w:val="0"/>
                <w:sz w:val="22"/>
                <w:highlight w:val="none"/>
                <w:lang w:bidi="ar"/>
              </w:rPr>
              <w:t>定性</w:t>
            </w:r>
          </w:p>
        </w:tc>
        <w:tc>
          <w:tcPr>
            <w:tcW w:w="6188" w:type="dxa"/>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不配合医疗保障部门开展智能监控审核稽核、履约考核、监督检查等，情节恶劣的。</w:t>
            </w:r>
          </w:p>
        </w:tc>
        <w:tc>
          <w:tcPr>
            <w:tcW w:w="662" w:type="dxa"/>
            <w:noWrap w:val="0"/>
            <w:vAlign w:val="center"/>
          </w:tcPr>
          <w:p>
            <w:pPr>
              <w:widowControl/>
              <w:jc w:val="left"/>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日常抽查</w:t>
            </w:r>
            <w:r>
              <w:rPr>
                <w:rFonts w:hint="eastAsia" w:ascii="仿宋_GB2312" w:hAnsi="仿宋_GB2312" w:eastAsia="仿宋_GB2312" w:cs="仿宋_GB2312"/>
                <w:color w:val="000000"/>
                <w:kern w:val="0"/>
                <w:sz w:val="22"/>
                <w:highlight w:val="none"/>
                <w:lang w:bidi="ar"/>
              </w:rPr>
              <w:br w:type="textWrapping"/>
            </w:r>
            <w:r>
              <w:rPr>
                <w:rFonts w:hint="eastAsia" w:ascii="仿宋_GB2312" w:hAnsi="仿宋_GB2312" w:eastAsia="仿宋_GB2312" w:cs="仿宋_GB2312"/>
                <w:color w:val="000000"/>
                <w:kern w:val="0"/>
                <w:sz w:val="22"/>
                <w:highlight w:val="none"/>
                <w:lang w:bidi="ar"/>
              </w:rPr>
              <w:t>年度考核</w:t>
            </w:r>
          </w:p>
        </w:tc>
        <w:tc>
          <w:tcPr>
            <w:tcW w:w="3150" w:type="dxa"/>
            <w:noWrap w:val="0"/>
            <w:vAlign w:val="center"/>
          </w:tcPr>
          <w:p>
            <w:pPr>
              <w:widowControl/>
              <w:textAlignment w:val="center"/>
              <w:rPr>
                <w:rFonts w:hint="eastAsia" w:ascii="仿宋_GB2312" w:hAnsi="仿宋_GB2312" w:eastAsia="仿宋_GB2312" w:cs="仿宋_GB2312"/>
                <w:color w:val="000000"/>
                <w:kern w:val="0"/>
                <w:sz w:val="22"/>
                <w:highlight w:val="none"/>
                <w:lang w:bidi="ar"/>
              </w:rPr>
            </w:pPr>
            <w:r>
              <w:rPr>
                <w:rFonts w:hint="eastAsia" w:ascii="仿宋_GB2312" w:hAnsi="仿宋_GB2312" w:eastAsia="仿宋_GB2312" w:cs="仿宋_GB2312"/>
                <w:color w:val="000000"/>
                <w:kern w:val="0"/>
                <w:sz w:val="22"/>
                <w:highlight w:val="none"/>
                <w:lang w:bidi="ar"/>
              </w:rPr>
              <w:t>一票否决，扣360分。</w:t>
            </w:r>
          </w:p>
        </w:tc>
      </w:tr>
    </w:tbl>
    <w:p>
      <w:pPr>
        <w:rPr>
          <w:rFonts w:hint="eastAsia" w:ascii="仿宋_GB2312" w:hAnsi="仿宋" w:eastAsia="仿宋_GB2312" w:cs="仿宋_GB2312"/>
          <w:sz w:val="32"/>
          <w:szCs w:val="32"/>
          <w:highlight w:val="none"/>
          <w:lang w:bidi="ar"/>
        </w:rPr>
      </w:pPr>
    </w:p>
    <w:p>
      <w:pPr>
        <w:widowControl/>
        <w:spacing w:line="600" w:lineRule="exact"/>
        <w:rPr>
          <w:rFonts w:hint="eastAsia" w:ascii="仿宋_GB2312" w:hAnsi="仿宋" w:eastAsia="仿宋_GB2312" w:cs="仿宋_GB2312"/>
          <w:sz w:val="32"/>
          <w:szCs w:val="32"/>
          <w:highlight w:val="none"/>
          <w:lang w:bidi="ar"/>
        </w:rPr>
        <w:sectPr>
          <w:footerReference r:id="rId4" w:type="default"/>
          <w:pgSz w:w="16838" w:h="11906" w:orient="landscape"/>
          <w:pgMar w:top="1803" w:right="1440" w:bottom="1803" w:left="1440" w:header="851" w:footer="992" w:gutter="0"/>
          <w:cols w:space="720" w:num="1"/>
          <w:docGrid w:type="lines" w:linePitch="319" w:charSpace="0"/>
        </w:sectPr>
      </w:pPr>
    </w:p>
    <w:p>
      <w:pPr>
        <w:widowControl/>
        <w:spacing w:line="600" w:lineRule="exact"/>
        <w:rPr>
          <w:rFonts w:hint="eastAsia" w:ascii="方正黑体简体" w:hAnsi="方正黑体简体" w:eastAsia="方正黑体简体" w:cs="方正黑体简体"/>
          <w:sz w:val="32"/>
          <w:szCs w:val="32"/>
          <w:highlight w:val="none"/>
          <w:lang w:bidi="ar"/>
        </w:rPr>
      </w:pPr>
      <w:r>
        <w:rPr>
          <w:rFonts w:hint="eastAsia" w:ascii="方正黑体简体" w:hAnsi="方正黑体简体" w:eastAsia="方正黑体简体" w:cs="方正黑体简体"/>
          <w:sz w:val="32"/>
          <w:szCs w:val="32"/>
          <w:highlight w:val="none"/>
          <w:lang w:bidi="ar"/>
        </w:rPr>
        <w:t>附件4</w:t>
      </w:r>
    </w:p>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定点医药机构医保信用评价报告</w:t>
      </w:r>
    </w:p>
    <w:tbl>
      <w:tblPr>
        <w:tblStyle w:val="8"/>
        <w:tblW w:w="3688" w:type="pct"/>
        <w:jc w:val="center"/>
        <w:tblLayout w:type="autofit"/>
        <w:tblCellMar>
          <w:top w:w="0" w:type="dxa"/>
          <w:left w:w="108" w:type="dxa"/>
          <w:bottom w:w="0" w:type="dxa"/>
          <w:right w:w="108" w:type="dxa"/>
        </w:tblCellMar>
      </w:tblPr>
      <w:tblGrid>
        <w:gridCol w:w="1318"/>
        <w:gridCol w:w="5365"/>
      </w:tblGrid>
      <w:tr>
        <w:tblPrEx>
          <w:tblCellMar>
            <w:top w:w="0" w:type="dxa"/>
            <w:left w:w="108" w:type="dxa"/>
            <w:bottom w:w="0" w:type="dxa"/>
            <w:right w:w="108" w:type="dxa"/>
          </w:tblCellMar>
        </w:tblPrEx>
        <w:trPr>
          <w:trHeight w:val="405" w:hRule="atLeast"/>
          <w:jc w:val="center"/>
        </w:trPr>
        <w:tc>
          <w:tcPr>
            <w:tcW w:w="986" w:type="pct"/>
            <w:tcBorders>
              <w:top w:val="nil"/>
              <w:left w:val="nil"/>
              <w:bottom w:val="nil"/>
              <w:right w:val="nil"/>
            </w:tcBorders>
            <w:noWrap/>
            <w:vAlign w:val="center"/>
          </w:tcPr>
          <w:p>
            <w:pPr>
              <w:widowControl/>
              <w:jc w:val="left"/>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评价周期：</w:t>
            </w:r>
          </w:p>
        </w:tc>
        <w:tc>
          <w:tcPr>
            <w:tcW w:w="4013" w:type="pct"/>
            <w:tcBorders>
              <w:top w:val="nil"/>
              <w:left w:val="nil"/>
              <w:bottom w:val="nil"/>
              <w:right w:val="nil"/>
            </w:tcBorders>
            <w:noWrap/>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XXXX年01月01日-XXXX年12月31日</w:t>
            </w:r>
          </w:p>
        </w:tc>
      </w:tr>
    </w:tbl>
    <w:p>
      <w:pPr>
        <w:rPr>
          <w:rFonts w:hint="eastAsia"/>
          <w:highlight w:val="none"/>
        </w:rPr>
      </w:pPr>
    </w:p>
    <w:tbl>
      <w:tblPr>
        <w:tblStyle w:val="8"/>
        <w:tblW w:w="4998" w:type="pct"/>
        <w:tblInd w:w="0" w:type="dxa"/>
        <w:tblLayout w:type="autofit"/>
        <w:tblCellMar>
          <w:top w:w="0" w:type="dxa"/>
          <w:left w:w="108" w:type="dxa"/>
          <w:bottom w:w="0" w:type="dxa"/>
          <w:right w:w="108" w:type="dxa"/>
        </w:tblCellMar>
      </w:tblPr>
      <w:tblGrid>
        <w:gridCol w:w="849"/>
        <w:gridCol w:w="1386"/>
        <w:gridCol w:w="786"/>
        <w:gridCol w:w="1299"/>
        <w:gridCol w:w="1400"/>
        <w:gridCol w:w="811"/>
        <w:gridCol w:w="1186"/>
        <w:gridCol w:w="1339"/>
      </w:tblGrid>
      <w:tr>
        <w:tblPrEx>
          <w:tblCellMar>
            <w:top w:w="0" w:type="dxa"/>
            <w:left w:w="108" w:type="dxa"/>
            <w:bottom w:w="0" w:type="dxa"/>
            <w:right w:w="108" w:type="dxa"/>
          </w:tblCellMar>
        </w:tblPrEx>
        <w:trPr>
          <w:trHeight w:val="510" w:hRule="atLeast"/>
        </w:trPr>
        <w:tc>
          <w:tcPr>
            <w:tcW w:w="5000" w:type="pct"/>
            <w:gridSpan w:val="8"/>
            <w:tcBorders>
              <w:top w:val="nil"/>
              <w:left w:val="nil"/>
              <w:bottom w:val="nil"/>
              <w:right w:val="nil"/>
            </w:tcBorders>
            <w:noWrap/>
            <w:vAlign w:val="center"/>
          </w:tcPr>
          <w:p>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基本信息</w:t>
            </w:r>
          </w:p>
        </w:tc>
      </w:tr>
      <w:tr>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机构名称</w:t>
            </w:r>
          </w:p>
        </w:tc>
        <w:tc>
          <w:tcPr>
            <w:tcW w:w="1916" w:type="pct"/>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宋体" w:eastAsia="黑体" w:cs="黑体"/>
                <w:color w:val="000000"/>
                <w:sz w:val="22"/>
                <w:highlight w:val="none"/>
              </w:rPr>
            </w:pP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统一社会</w:t>
            </w:r>
            <w:r>
              <w:rPr>
                <w:rFonts w:hint="eastAsia" w:ascii="黑体" w:hAnsi="宋体" w:eastAsia="黑体" w:cs="黑体"/>
                <w:color w:val="000000"/>
                <w:kern w:val="0"/>
                <w:sz w:val="22"/>
                <w:highlight w:val="none"/>
                <w:lang w:bidi="ar"/>
              </w:rPr>
              <w:br w:type="textWrapping"/>
            </w:r>
            <w:r>
              <w:rPr>
                <w:rFonts w:hint="eastAsia" w:ascii="黑体" w:hAnsi="宋体" w:eastAsia="黑体" w:cs="黑体"/>
                <w:color w:val="000000"/>
                <w:kern w:val="0"/>
                <w:sz w:val="22"/>
                <w:highlight w:val="none"/>
                <w:lang w:bidi="ar"/>
              </w:rPr>
              <w:t>信用代码</w:t>
            </w:r>
          </w:p>
        </w:tc>
        <w:tc>
          <w:tcPr>
            <w:tcW w:w="184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机构类型</w:t>
            </w:r>
          </w:p>
        </w:tc>
        <w:tc>
          <w:tcPr>
            <w:tcW w:w="765" w:type="pct"/>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医疗机构/药店</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机构</w:t>
            </w:r>
          </w:p>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等级</w:t>
            </w:r>
          </w:p>
        </w:tc>
        <w:tc>
          <w:tcPr>
            <w:tcW w:w="716" w:type="pct"/>
            <w:tcBorders>
              <w:top w:val="single" w:color="000000" w:sz="4" w:space="0"/>
              <w:left w:val="nil"/>
              <w:bottom w:val="single" w:color="000000" w:sz="4" w:space="0"/>
              <w:right w:val="nil"/>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X级或药店</w:t>
            </w:r>
          </w:p>
        </w:tc>
        <w:tc>
          <w:tcPr>
            <w:tcW w:w="77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医保编码</w:t>
            </w:r>
          </w:p>
        </w:tc>
        <w:tc>
          <w:tcPr>
            <w:tcW w:w="184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979"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机构地址</w:t>
            </w:r>
          </w:p>
        </w:tc>
        <w:tc>
          <w:tcPr>
            <w:tcW w:w="4530" w:type="pct"/>
            <w:gridSpan w:val="7"/>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1040" w:hRule="atLeast"/>
        </w:trPr>
        <w:tc>
          <w:tcPr>
            <w:tcW w:w="46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联系电话</w:t>
            </w:r>
          </w:p>
        </w:tc>
        <w:tc>
          <w:tcPr>
            <w:tcW w:w="1199" w:type="pct"/>
            <w:gridSpan w:val="2"/>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黑体" w:hAnsi="宋体" w:eastAsia="黑体" w:cs="黑体"/>
                <w:color w:val="000000"/>
                <w:sz w:val="22"/>
                <w:highlight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医保区划</w:t>
            </w:r>
          </w:p>
        </w:tc>
        <w:tc>
          <w:tcPr>
            <w:tcW w:w="1221" w:type="pct"/>
            <w:gridSpan w:val="2"/>
            <w:tcBorders>
              <w:top w:val="single" w:color="000000" w:sz="4" w:space="0"/>
              <w:left w:val="single" w:color="000000" w:sz="4" w:space="0"/>
              <w:bottom w:val="single" w:color="000000" w:sz="4" w:space="0"/>
              <w:right w:val="nil"/>
            </w:tcBorders>
            <w:noWrap w:val="0"/>
            <w:vAlign w:val="center"/>
          </w:tcPr>
          <w:p>
            <w:pPr>
              <w:jc w:val="center"/>
              <w:rPr>
                <w:rFonts w:hint="eastAsia" w:ascii="黑体" w:hAnsi="宋体" w:eastAsia="黑体" w:cs="黑体"/>
                <w:color w:val="000000"/>
                <w:sz w:val="22"/>
                <w:highlight w:val="none"/>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法定</w:t>
            </w:r>
          </w:p>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代表人</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bl>
    <w:p>
      <w:pPr>
        <w:pStyle w:val="4"/>
        <w:rPr>
          <w:rFonts w:hint="eastAsia"/>
          <w:highlight w:val="none"/>
        </w:rPr>
      </w:pPr>
    </w:p>
    <w:tbl>
      <w:tblPr>
        <w:tblStyle w:val="8"/>
        <w:tblW w:w="4998" w:type="pct"/>
        <w:tblInd w:w="0" w:type="dxa"/>
        <w:tblLayout w:type="fixed"/>
        <w:tblCellMar>
          <w:top w:w="0" w:type="dxa"/>
          <w:left w:w="108" w:type="dxa"/>
          <w:bottom w:w="0" w:type="dxa"/>
          <w:right w:w="108" w:type="dxa"/>
        </w:tblCellMar>
      </w:tblPr>
      <w:tblGrid>
        <w:gridCol w:w="1258"/>
        <w:gridCol w:w="1168"/>
        <w:gridCol w:w="1335"/>
        <w:gridCol w:w="1357"/>
        <w:gridCol w:w="1380"/>
        <w:gridCol w:w="1235"/>
        <w:gridCol w:w="1324"/>
      </w:tblGrid>
      <w:tr>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noWrap/>
            <w:vAlign w:val="center"/>
          </w:tcPr>
          <w:p>
            <w:pPr>
              <w:widowControl/>
              <w:jc w:val="center"/>
              <w:textAlignment w:val="center"/>
              <w:rPr>
                <w:rFonts w:hint="eastAsia" w:ascii="黑体" w:hAnsi="宋体" w:eastAsia="黑体" w:cs="黑体"/>
                <w:color w:val="000000"/>
                <w:kern w:val="0"/>
                <w:sz w:val="32"/>
                <w:szCs w:val="32"/>
                <w:highlight w:val="none"/>
                <w:lang w:bidi="ar"/>
              </w:rPr>
            </w:pPr>
            <w:r>
              <w:rPr>
                <w:rFonts w:hint="eastAsia" w:ascii="黑体" w:hAnsi="宋体" w:eastAsia="黑体" w:cs="黑体"/>
                <w:color w:val="000000"/>
                <w:kern w:val="0"/>
                <w:sz w:val="32"/>
                <w:szCs w:val="32"/>
                <w:highlight w:val="none"/>
                <w:lang w:bidi="ar"/>
              </w:rPr>
              <w:t>信用评价结果</w:t>
            </w:r>
          </w:p>
        </w:tc>
      </w:tr>
      <w:tr>
        <w:tblPrEx>
          <w:tblCellMar>
            <w:top w:w="0" w:type="dxa"/>
            <w:left w:w="108" w:type="dxa"/>
            <w:bottom w:w="0" w:type="dxa"/>
            <w:right w:w="108" w:type="dxa"/>
          </w:tblCellMar>
        </w:tblPrEx>
        <w:trPr>
          <w:trHeight w:val="375"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等级</w:t>
            </w:r>
          </w:p>
        </w:tc>
        <w:tc>
          <w:tcPr>
            <w:tcW w:w="64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总分</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协议</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履行</w:t>
            </w:r>
          </w:p>
        </w:tc>
        <w:tc>
          <w:tcPr>
            <w:tcW w:w="7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基金</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监管</w:t>
            </w: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社会</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信用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表彰</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奖励</w:t>
            </w: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一票</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否决</w:t>
            </w:r>
          </w:p>
        </w:tc>
      </w:tr>
      <w:tr>
        <w:tblPrEx>
          <w:tblCellMar>
            <w:top w:w="0" w:type="dxa"/>
            <w:left w:w="108" w:type="dxa"/>
            <w:bottom w:w="0" w:type="dxa"/>
            <w:right w:w="108" w:type="dxa"/>
          </w:tblCellMar>
        </w:tblPrEx>
        <w:trPr>
          <w:trHeight w:val="580" w:hRule="atLeast"/>
        </w:trPr>
        <w:tc>
          <w:tcPr>
            <w:tcW w:w="6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64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7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76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68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bl>
    <w:p>
      <w:pPr>
        <w:rPr>
          <w:rFonts w:hint="eastAsia"/>
          <w:highlight w:val="none"/>
        </w:rPr>
      </w:pPr>
    </w:p>
    <w:tbl>
      <w:tblPr>
        <w:tblStyle w:val="8"/>
        <w:tblW w:w="5000" w:type="pct"/>
        <w:tblInd w:w="0" w:type="dxa"/>
        <w:tblLayout w:type="autofit"/>
        <w:tblCellMar>
          <w:top w:w="0" w:type="dxa"/>
          <w:left w:w="108" w:type="dxa"/>
          <w:bottom w:w="0" w:type="dxa"/>
          <w:right w:w="108" w:type="dxa"/>
        </w:tblCellMar>
      </w:tblPr>
      <w:tblGrid>
        <w:gridCol w:w="2259"/>
        <w:gridCol w:w="2260"/>
        <w:gridCol w:w="2260"/>
        <w:gridCol w:w="2281"/>
      </w:tblGrid>
      <w:tr>
        <w:tblPrEx>
          <w:tblCellMar>
            <w:top w:w="0" w:type="dxa"/>
            <w:left w:w="108" w:type="dxa"/>
            <w:bottom w:w="0" w:type="dxa"/>
            <w:right w:w="108" w:type="dxa"/>
          </w:tblCellMar>
        </w:tblPrEx>
        <w:trPr>
          <w:trHeight w:val="510" w:hRule="atLeast"/>
        </w:trPr>
        <w:tc>
          <w:tcPr>
            <w:tcW w:w="5000" w:type="pct"/>
            <w:gridSpan w:val="4"/>
            <w:tcBorders>
              <w:top w:val="nil"/>
              <w:left w:val="nil"/>
              <w:bottom w:val="nil"/>
              <w:right w:val="nil"/>
            </w:tcBorders>
            <w:noWrap/>
            <w:vAlign w:val="center"/>
          </w:tcPr>
          <w:p>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医保信用风险</w:t>
            </w:r>
          </w:p>
        </w:tc>
      </w:tr>
      <w:tr>
        <w:tblPrEx>
          <w:tblCellMar>
            <w:top w:w="0" w:type="dxa"/>
            <w:left w:w="108" w:type="dxa"/>
            <w:bottom w:w="0" w:type="dxa"/>
            <w:right w:w="108" w:type="dxa"/>
          </w:tblCellMar>
        </w:tblPrEx>
        <w:trPr>
          <w:trHeight w:val="56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表彰（次）</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司法处罚（次）</w:t>
            </w: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行政处罚（次）</w:t>
            </w:r>
          </w:p>
        </w:tc>
        <w:tc>
          <w:tcPr>
            <w:tcW w:w="125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协议处理（次）</w:t>
            </w:r>
          </w:p>
        </w:tc>
      </w:tr>
      <w:tr>
        <w:tblPrEx>
          <w:tblCellMar>
            <w:top w:w="0" w:type="dxa"/>
            <w:left w:w="108" w:type="dxa"/>
            <w:bottom w:w="0" w:type="dxa"/>
            <w:right w:w="108" w:type="dxa"/>
          </w:tblCellMar>
        </w:tblPrEx>
        <w:trPr>
          <w:trHeight w:val="56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24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25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bl>
    <w:p>
      <w:pPr>
        <w:pStyle w:val="4"/>
        <w:rPr>
          <w:rFonts w:hint="eastAsia"/>
          <w:highlight w:val="none"/>
        </w:rPr>
      </w:pPr>
    </w:p>
    <w:tbl>
      <w:tblPr>
        <w:tblStyle w:val="8"/>
        <w:tblW w:w="5000" w:type="pct"/>
        <w:tblInd w:w="0" w:type="dxa"/>
        <w:tblLayout w:type="autofit"/>
        <w:tblCellMar>
          <w:top w:w="0" w:type="dxa"/>
          <w:left w:w="108" w:type="dxa"/>
          <w:bottom w:w="0" w:type="dxa"/>
          <w:right w:w="108" w:type="dxa"/>
        </w:tblCellMar>
      </w:tblPr>
      <w:tblGrid>
        <w:gridCol w:w="890"/>
        <w:gridCol w:w="1770"/>
        <w:gridCol w:w="1850"/>
        <w:gridCol w:w="2825"/>
        <w:gridCol w:w="1725"/>
      </w:tblGrid>
      <w:tr>
        <w:tblPrEx>
          <w:tblCellMar>
            <w:top w:w="0" w:type="dxa"/>
            <w:left w:w="108" w:type="dxa"/>
            <w:bottom w:w="0" w:type="dxa"/>
            <w:right w:w="108" w:type="dxa"/>
          </w:tblCellMar>
        </w:tblPrEx>
        <w:trPr>
          <w:trHeight w:val="510" w:hRule="atLeast"/>
        </w:trPr>
        <w:tc>
          <w:tcPr>
            <w:tcW w:w="5000" w:type="pct"/>
            <w:gridSpan w:val="5"/>
            <w:tcBorders>
              <w:top w:val="nil"/>
              <w:left w:val="nil"/>
              <w:bottom w:val="nil"/>
              <w:right w:val="nil"/>
            </w:tcBorders>
            <w:noWrap/>
            <w:vAlign w:val="center"/>
          </w:tcPr>
          <w:p>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信用评价指标详情列表</w:t>
            </w:r>
          </w:p>
        </w:tc>
      </w:tr>
      <w:tr>
        <w:tblPrEx>
          <w:tblCellMar>
            <w:top w:w="0" w:type="dxa"/>
            <w:left w:w="108" w:type="dxa"/>
            <w:bottom w:w="0" w:type="dxa"/>
            <w:right w:w="108" w:type="dxa"/>
          </w:tblCellMar>
        </w:tblPrEx>
        <w:trPr>
          <w:trHeight w:val="375"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序号</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一级指标</w:t>
            </w: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二级指标</w:t>
            </w: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三级指标</w:t>
            </w: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指标评分（分）</w:t>
            </w: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1</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2</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3</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4</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5</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6</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7</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420" w:hRule="atLeast"/>
        </w:trPr>
        <w:tc>
          <w:tcPr>
            <w:tcW w:w="4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8</w:t>
            </w:r>
          </w:p>
        </w:tc>
        <w:tc>
          <w:tcPr>
            <w:tcW w:w="9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02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155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c>
          <w:tcPr>
            <w:tcW w:w="9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color w:val="000000"/>
                <w:sz w:val="22"/>
                <w:highlight w:val="none"/>
              </w:rPr>
            </w:pPr>
          </w:p>
        </w:tc>
      </w:tr>
    </w:tbl>
    <w:p>
      <w:pPr>
        <w:rPr>
          <w:rFonts w:hint="eastAsia"/>
          <w:highlight w:val="none"/>
        </w:rPr>
      </w:pPr>
    </w:p>
    <w:tbl>
      <w:tblPr>
        <w:tblStyle w:val="8"/>
        <w:tblW w:w="5001" w:type="pct"/>
        <w:tblInd w:w="0" w:type="dxa"/>
        <w:tblLayout w:type="fixed"/>
        <w:tblCellMar>
          <w:top w:w="0" w:type="dxa"/>
          <w:left w:w="108" w:type="dxa"/>
          <w:bottom w:w="0" w:type="dxa"/>
          <w:right w:w="108" w:type="dxa"/>
        </w:tblCellMar>
      </w:tblPr>
      <w:tblGrid>
        <w:gridCol w:w="883"/>
        <w:gridCol w:w="1301"/>
        <w:gridCol w:w="2006"/>
        <w:gridCol w:w="1320"/>
        <w:gridCol w:w="1317"/>
        <w:gridCol w:w="1322"/>
        <w:gridCol w:w="913"/>
      </w:tblGrid>
      <w:tr>
        <w:tblPrEx>
          <w:tblCellMar>
            <w:top w:w="0" w:type="dxa"/>
            <w:left w:w="108" w:type="dxa"/>
            <w:bottom w:w="0" w:type="dxa"/>
            <w:right w:w="108" w:type="dxa"/>
          </w:tblCellMar>
        </w:tblPrEx>
        <w:trPr>
          <w:trHeight w:val="510" w:hRule="atLeast"/>
        </w:trPr>
        <w:tc>
          <w:tcPr>
            <w:tcW w:w="5000" w:type="pct"/>
            <w:gridSpan w:val="7"/>
            <w:tcBorders>
              <w:top w:val="nil"/>
              <w:left w:val="nil"/>
              <w:bottom w:val="nil"/>
              <w:right w:val="nil"/>
            </w:tcBorders>
            <w:noWrap/>
            <w:vAlign w:val="center"/>
          </w:tcPr>
          <w:p>
            <w:pPr>
              <w:widowControl/>
              <w:jc w:val="center"/>
              <w:textAlignment w:val="center"/>
              <w:rPr>
                <w:rFonts w:ascii="黑体" w:hAnsi="宋体" w:eastAsia="黑体" w:cs="黑体"/>
                <w:color w:val="000000"/>
                <w:sz w:val="32"/>
                <w:szCs w:val="32"/>
                <w:highlight w:val="none"/>
              </w:rPr>
            </w:pPr>
            <w:r>
              <w:rPr>
                <w:rFonts w:hint="eastAsia" w:ascii="黑体" w:hAnsi="宋体" w:eastAsia="黑体" w:cs="黑体"/>
                <w:color w:val="000000"/>
                <w:kern w:val="0"/>
                <w:sz w:val="32"/>
                <w:szCs w:val="32"/>
                <w:highlight w:val="none"/>
                <w:lang w:bidi="ar"/>
              </w:rPr>
              <w:t>医保信用事件详情列表</w:t>
            </w: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事件编号</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事件类型</w:t>
            </w:r>
          </w:p>
        </w:tc>
        <w:tc>
          <w:tcPr>
            <w:tcW w:w="11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事件名称</w:t>
            </w:r>
          </w:p>
        </w:tc>
        <w:tc>
          <w:tcPr>
            <w:tcW w:w="72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开始日期</w:t>
            </w:r>
          </w:p>
        </w:tc>
        <w:tc>
          <w:tcPr>
            <w:tcW w:w="72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事件</w:t>
            </w:r>
          </w:p>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截止日期</w:t>
            </w:r>
          </w:p>
        </w:tc>
        <w:tc>
          <w:tcPr>
            <w:tcW w:w="7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处理日期</w:t>
            </w:r>
          </w:p>
        </w:tc>
        <w:tc>
          <w:tcPr>
            <w:tcW w:w="50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处理状态</w:t>
            </w: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1</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2</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3</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宋体" w:eastAsia="黑体" w:cs="黑体"/>
                <w:color w:val="000000"/>
                <w:sz w:val="22"/>
                <w:highlight w:val="none"/>
              </w:rPr>
            </w:pPr>
            <w:r>
              <w:rPr>
                <w:rFonts w:hint="eastAsia" w:ascii="黑体" w:hAnsi="宋体" w:eastAsia="黑体" w:cs="黑体"/>
                <w:color w:val="000000"/>
                <w:kern w:val="0"/>
                <w:sz w:val="22"/>
                <w:highlight w:val="none"/>
                <w:lang w:bidi="ar"/>
              </w:rPr>
              <w:t>4</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5</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6</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7</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r>
        <w:tblPrEx>
          <w:tblCellMar>
            <w:top w:w="0" w:type="dxa"/>
            <w:left w:w="108" w:type="dxa"/>
            <w:bottom w:w="0" w:type="dxa"/>
            <w:right w:w="108" w:type="dxa"/>
          </w:tblCellMar>
        </w:tblPrEx>
        <w:trPr>
          <w:trHeight w:val="375" w:hRule="atLeast"/>
        </w:trPr>
        <w:tc>
          <w:tcPr>
            <w:tcW w:w="4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kern w:val="0"/>
                <w:sz w:val="22"/>
                <w:highlight w:val="none"/>
                <w:lang w:bidi="ar"/>
              </w:rPr>
            </w:pPr>
            <w:r>
              <w:rPr>
                <w:rFonts w:hint="eastAsia" w:ascii="黑体" w:hAnsi="宋体" w:eastAsia="黑体" w:cs="黑体"/>
                <w:color w:val="000000"/>
                <w:kern w:val="0"/>
                <w:sz w:val="22"/>
                <w:highlight w:val="none"/>
                <w:lang w:bidi="ar"/>
              </w:rPr>
              <w:t>8</w:t>
            </w:r>
          </w:p>
        </w:tc>
        <w:tc>
          <w:tcPr>
            <w:tcW w:w="71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11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72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c>
          <w:tcPr>
            <w:tcW w:w="50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color w:val="000000"/>
                <w:sz w:val="22"/>
                <w:highlight w:val="none"/>
              </w:rPr>
            </w:pPr>
          </w:p>
        </w:tc>
      </w:tr>
    </w:tbl>
    <w:p>
      <w:pPr>
        <w:pStyle w:val="4"/>
        <w:rPr>
          <w:rFonts w:hint="eastAsia"/>
          <w:highlight w:val="none"/>
        </w:rPr>
      </w:pPr>
    </w:p>
    <w:p>
      <w:pPr>
        <w:widowControl/>
        <w:rPr>
          <w:rFonts w:hint="eastAsia" w:ascii="黑体" w:hAnsi="黑体" w:eastAsia="黑体" w:cs="黑体"/>
          <w:sz w:val="32"/>
          <w:szCs w:val="32"/>
          <w:highlight w:val="none"/>
          <w:lang w:bidi="ar"/>
        </w:rPr>
      </w:pPr>
      <w:r>
        <w:rPr>
          <w:rFonts w:hint="eastAsia" w:ascii="仿宋_GB2312" w:hAnsi="仿宋" w:eastAsia="仿宋_GB2312" w:cs="仿宋_GB2312"/>
          <w:sz w:val="32"/>
          <w:szCs w:val="32"/>
          <w:highlight w:val="none"/>
          <w:lang w:bidi="ar"/>
        </w:rPr>
        <w:br w:type="page"/>
      </w:r>
      <w:r>
        <w:rPr>
          <w:rFonts w:hint="eastAsia" w:ascii="黑体" w:hAnsi="黑体" w:eastAsia="黑体" w:cs="黑体"/>
          <w:sz w:val="32"/>
          <w:szCs w:val="32"/>
          <w:highlight w:val="none"/>
          <w:lang w:bidi="ar"/>
        </w:rPr>
        <w:t>附件5</w:t>
      </w:r>
    </w:p>
    <w:p>
      <w:pPr>
        <w:pStyle w:val="4"/>
        <w:rPr>
          <w:rFonts w:hint="eastAsia"/>
          <w:highlight w:val="none"/>
        </w:rPr>
      </w:pPr>
    </w:p>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定点医药机构医保信用评级告知书</w:t>
      </w:r>
    </w:p>
    <w:p>
      <w:pPr>
        <w:spacing w:line="560" w:lineRule="exact"/>
        <w:ind w:firstLine="3840" w:firstLineChars="1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文号：</w:t>
      </w:r>
      <w:r>
        <w:rPr>
          <w:rFonts w:hint="eastAsia" w:ascii="仿宋_GB2312" w:hAnsi="仿宋_GB2312" w:eastAsia="仿宋_GB2312" w:cs="仿宋_GB2312"/>
          <w:sz w:val="32"/>
          <w:szCs w:val="32"/>
          <w:highlight w:val="none"/>
          <w:u w:val="single"/>
        </w:rPr>
        <w:t xml:space="preserve">               </w:t>
      </w:r>
      <w:r>
        <w:rPr>
          <w:rFonts w:hint="eastAsia" w:ascii="宋体" w:hAnsi="宋体" w:eastAsia="宋体" w:cs="宋体"/>
          <w:sz w:val="32"/>
          <w:szCs w:val="32"/>
          <w:highlight w:val="none"/>
        </w:rPr>
        <w:t>〔   〕</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369"/>
        <w:gridCol w:w="545"/>
        <w:gridCol w:w="980"/>
        <w:gridCol w:w="1384"/>
        <w:gridCol w:w="1474"/>
        <w:gridCol w:w="597"/>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0" w:type="pct"/>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机构名称</w:t>
            </w:r>
          </w:p>
        </w:tc>
        <w:tc>
          <w:tcPr>
            <w:tcW w:w="4109" w:type="pct"/>
            <w:gridSpan w:val="7"/>
            <w:noWrap w:val="0"/>
            <w:vAlign w:val="center"/>
          </w:tcPr>
          <w:p>
            <w:pPr>
              <w:spacing w:line="56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90" w:type="pct"/>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统一社会信用代码</w:t>
            </w:r>
          </w:p>
        </w:tc>
        <w:tc>
          <w:tcPr>
            <w:tcW w:w="4109" w:type="pct"/>
            <w:gridSpan w:val="7"/>
            <w:noWrap w:val="0"/>
            <w:vAlign w:val="center"/>
          </w:tcPr>
          <w:p>
            <w:pPr>
              <w:spacing w:line="56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90" w:type="pct"/>
            <w:noWrap w:val="0"/>
            <w:vAlign w:val="center"/>
          </w:tcPr>
          <w:p>
            <w:pPr>
              <w:spacing w:line="560" w:lineRule="exact"/>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扣分指标</w:t>
            </w:r>
          </w:p>
        </w:tc>
        <w:tc>
          <w:tcPr>
            <w:tcW w:w="4109" w:type="pct"/>
            <w:gridSpan w:val="7"/>
            <w:noWrap w:val="0"/>
            <w:vAlign w:val="center"/>
          </w:tcPr>
          <w:p>
            <w:pPr>
              <w:wordWrap w:val="0"/>
              <w:spacing w:line="560" w:lineRule="exact"/>
              <w:jc w:val="right"/>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2" w:hRule="atLeast"/>
          <w:jc w:val="center"/>
        </w:trPr>
        <w:tc>
          <w:tcPr>
            <w:tcW w:w="890" w:type="pct"/>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医疗保障经办机构处理意见</w:t>
            </w:r>
          </w:p>
        </w:tc>
        <w:tc>
          <w:tcPr>
            <w:tcW w:w="4109" w:type="pct"/>
            <w:gridSpan w:val="7"/>
            <w:noWrap w:val="0"/>
            <w:vAlign w:val="center"/>
          </w:tcPr>
          <w:p>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本次扣减信用分数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分；本年度现有信用分数</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分（总分1000分）。</w:t>
            </w:r>
          </w:p>
          <w:p>
            <w:pPr>
              <w:widowControl/>
              <w:spacing w:line="56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予以</w:t>
            </w:r>
            <w:r>
              <w:rPr>
                <w:rFonts w:hint="eastAsia" w:ascii="仿宋_GB2312" w:hAnsi="仿宋_GB2312" w:eastAsia="仿宋_GB2312" w:cs="仿宋_GB2312"/>
                <w:sz w:val="32"/>
                <w:szCs w:val="32"/>
                <w:highlight w:val="none"/>
                <w:u w:val="single"/>
              </w:rPr>
              <w:t xml:space="preserve">                                      </w:t>
            </w:r>
          </w:p>
          <w:p>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widowControl/>
              <w:spacing w:line="560" w:lineRule="exact"/>
              <w:jc w:val="left"/>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u w:val="single"/>
              </w:rPr>
              <w:t xml:space="preserve">                                          </w:t>
            </w:r>
          </w:p>
          <w:p>
            <w:pPr>
              <w:widowControl/>
              <w:spacing w:line="560" w:lineRule="exact"/>
              <w:jc w:val="left"/>
              <w:rPr>
                <w:highlight w:val="none"/>
              </w:rPr>
            </w:pP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理</w:t>
            </w:r>
            <w:r>
              <w:rPr>
                <w:rFonts w:hint="eastAsia" w:ascii="仿宋_GB2312" w:hAnsi="仿宋_GB2312" w:eastAsia="仿宋_GB2312" w:cs="仿宋_GB2312"/>
                <w:sz w:val="32"/>
                <w:szCs w:val="32"/>
                <w:highlight w:val="none"/>
              </w:rPr>
              <w:t>。</w:t>
            </w:r>
          </w:p>
          <w:p>
            <w:pPr>
              <w:pStyle w:val="4"/>
              <w:rPr>
                <w:rFonts w:hint="eastAsia"/>
                <w:highlight w:val="none"/>
              </w:rPr>
            </w:pPr>
          </w:p>
          <w:p>
            <w:pPr>
              <w:spacing w:line="560" w:lineRule="exact"/>
              <w:ind w:firstLine="3840" w:firstLineChars="1200"/>
              <w:jc w:val="left"/>
              <w:rPr>
                <w:rFonts w:hint="eastAsia" w:ascii="仿宋_GB2312" w:hAnsi="仿宋_GB2312" w:eastAsia="仿宋_GB2312" w:cs="仿宋_GB2312"/>
                <w:sz w:val="32"/>
                <w:szCs w:val="32"/>
                <w:highlight w:val="none"/>
                <w:lang w:bidi="ar"/>
              </w:rPr>
            </w:pPr>
            <w:r>
              <w:rPr>
                <w:rFonts w:hint="eastAsia" w:ascii="仿宋_GB2312" w:hAnsi="仿宋_GB2312" w:eastAsia="仿宋_GB2312" w:cs="仿宋_GB2312"/>
                <w:sz w:val="32"/>
                <w:szCs w:val="32"/>
                <w:highlight w:val="none"/>
                <w:lang w:bidi="ar"/>
              </w:rPr>
              <w:t>公章</w:t>
            </w:r>
          </w:p>
          <w:p>
            <w:pPr>
              <w:widowControl/>
              <w:spacing w:line="560" w:lineRule="exact"/>
              <w:ind w:firstLine="3840" w:firstLineChars="1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bidi="ar"/>
              </w:rPr>
              <w:t>日期：</w:t>
            </w:r>
            <w:r>
              <w:rPr>
                <w:rFonts w:hint="eastAsia" w:ascii="仿宋_GB2312" w:hAnsi="仿宋_GB2312" w:eastAsia="仿宋_GB2312" w:cs="仿宋_GB2312"/>
                <w:sz w:val="32"/>
                <w:szCs w:val="3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90" w:type="pct"/>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送达人</w:t>
            </w:r>
          </w:p>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c>
          <w:tcPr>
            <w:tcW w:w="756" w:type="pct"/>
            <w:noWrap w:val="0"/>
            <w:vAlign w:val="center"/>
          </w:tcPr>
          <w:p>
            <w:pPr>
              <w:spacing w:line="560" w:lineRule="exact"/>
              <w:jc w:val="center"/>
              <w:rPr>
                <w:rFonts w:hint="eastAsia" w:ascii="仿宋_GB2312" w:hAnsi="仿宋_GB2312" w:eastAsia="仿宋_GB2312" w:cs="仿宋_GB2312"/>
                <w:sz w:val="32"/>
                <w:szCs w:val="32"/>
                <w:highlight w:val="none"/>
              </w:rPr>
            </w:pPr>
          </w:p>
        </w:tc>
        <w:tc>
          <w:tcPr>
            <w:tcW w:w="301" w:type="pct"/>
            <w:noWrap w:val="0"/>
            <w:vAlign w:val="center"/>
          </w:tcPr>
          <w:p>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541" w:type="pct"/>
            <w:noWrap w:val="0"/>
            <w:vAlign w:val="center"/>
          </w:tcPr>
          <w:p>
            <w:pPr>
              <w:spacing w:line="560" w:lineRule="exact"/>
              <w:jc w:val="center"/>
              <w:rPr>
                <w:rFonts w:hint="eastAsia" w:ascii="仿宋_GB2312" w:hAnsi="仿宋_GB2312" w:eastAsia="仿宋_GB2312" w:cs="仿宋_GB2312"/>
                <w:sz w:val="32"/>
                <w:szCs w:val="32"/>
                <w:highlight w:val="none"/>
              </w:rPr>
            </w:pPr>
          </w:p>
        </w:tc>
        <w:tc>
          <w:tcPr>
            <w:tcW w:w="764" w:type="pct"/>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接收人</w:t>
            </w:r>
          </w:p>
          <w:p>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签字</w:t>
            </w:r>
          </w:p>
        </w:tc>
        <w:tc>
          <w:tcPr>
            <w:tcW w:w="814" w:type="pct"/>
            <w:noWrap w:val="0"/>
            <w:vAlign w:val="center"/>
          </w:tcPr>
          <w:p>
            <w:pPr>
              <w:spacing w:line="560" w:lineRule="exact"/>
              <w:jc w:val="center"/>
              <w:rPr>
                <w:rFonts w:hint="eastAsia" w:ascii="仿宋_GB2312" w:hAnsi="仿宋_GB2312" w:eastAsia="仿宋_GB2312" w:cs="仿宋_GB2312"/>
                <w:sz w:val="32"/>
                <w:szCs w:val="32"/>
                <w:highlight w:val="none"/>
              </w:rPr>
            </w:pPr>
          </w:p>
        </w:tc>
        <w:tc>
          <w:tcPr>
            <w:tcW w:w="330" w:type="pct"/>
            <w:noWrap w:val="0"/>
            <w:vAlign w:val="center"/>
          </w:tcPr>
          <w:p>
            <w:pPr>
              <w:spacing w:line="560" w:lineRule="exact"/>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p>
        </w:tc>
        <w:tc>
          <w:tcPr>
            <w:tcW w:w="601" w:type="pct"/>
            <w:noWrap w:val="0"/>
            <w:vAlign w:val="center"/>
          </w:tcPr>
          <w:p>
            <w:pPr>
              <w:spacing w:line="56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000" w:type="pct"/>
            <w:gridSpan w:val="8"/>
            <w:noWrap w:val="0"/>
            <w:vAlign w:val="center"/>
          </w:tcPr>
          <w:p>
            <w:pPr>
              <w:spacing w:line="56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备注：如有异议需15个工作日内提出书面申请，逾期视同无异议。</w:t>
            </w:r>
          </w:p>
        </w:tc>
      </w:tr>
    </w:tbl>
    <w:p>
      <w:pPr>
        <w:pStyle w:val="4"/>
        <w:widowControl/>
        <w:spacing w:after="0" w:line="560" w:lineRule="exact"/>
        <w:jc w:val="center"/>
        <w:rPr>
          <w:rFonts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p>
      <w:pPr>
        <w:pStyle w:val="4"/>
        <w:rPr>
          <w:rFonts w:ascii="黑体" w:hAnsi="黑体" w:eastAsia="黑体" w:cs="黑体"/>
          <w:kern w:val="2"/>
          <w:sz w:val="32"/>
          <w:szCs w:val="32"/>
          <w:highlight w:val="none"/>
          <w:lang w:bidi="ar"/>
        </w:rPr>
      </w:pPr>
      <w:r>
        <w:rPr>
          <w:rFonts w:hint="eastAsia"/>
          <w:highlight w:val="none"/>
        </w:rPr>
        <w:br w:type="page"/>
      </w:r>
      <w:r>
        <w:rPr>
          <w:rFonts w:hint="eastAsia" w:ascii="黑体" w:hAnsi="黑体" w:eastAsia="黑体" w:cs="黑体"/>
          <w:kern w:val="2"/>
          <w:sz w:val="32"/>
          <w:szCs w:val="32"/>
          <w:highlight w:val="none"/>
          <w:lang w:bidi="ar"/>
        </w:rPr>
        <w:t>附件6</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定点医药机构医保信用异议申请书</w:t>
      </w:r>
    </w:p>
    <w:p>
      <w:pPr>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评级告知书文号：</w:t>
      </w:r>
    </w:p>
    <w:tbl>
      <w:tblPr>
        <w:tblStyle w:val="8"/>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3391"/>
        <w:gridCol w:w="91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机构名称</w:t>
            </w:r>
          </w:p>
        </w:tc>
        <w:tc>
          <w:tcPr>
            <w:tcW w:w="6341" w:type="dxa"/>
            <w:gridSpan w:val="3"/>
            <w:noWrap w:val="0"/>
            <w:vAlign w:val="center"/>
          </w:tcPr>
          <w:p>
            <w:pPr>
              <w:spacing w:line="56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61" w:type="dxa"/>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统一社会信用代码</w:t>
            </w:r>
          </w:p>
        </w:tc>
        <w:tc>
          <w:tcPr>
            <w:tcW w:w="3391" w:type="dxa"/>
            <w:noWrap w:val="0"/>
            <w:vAlign w:val="center"/>
          </w:tcPr>
          <w:p>
            <w:pPr>
              <w:spacing w:line="560" w:lineRule="exact"/>
              <w:jc w:val="center"/>
              <w:rPr>
                <w:rFonts w:hint="eastAsia" w:ascii="仿宋_GB2312" w:hAnsi="仿宋_GB2312" w:eastAsia="仿宋_GB2312" w:cs="仿宋_GB2312"/>
                <w:sz w:val="32"/>
                <w:szCs w:val="32"/>
                <w:highlight w:val="none"/>
              </w:rPr>
            </w:pPr>
          </w:p>
        </w:tc>
        <w:tc>
          <w:tcPr>
            <w:tcW w:w="914" w:type="dxa"/>
            <w:noWrap w:val="0"/>
            <w:vAlign w:val="center"/>
          </w:tcPr>
          <w:p>
            <w:pPr>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p>
        </w:tc>
        <w:tc>
          <w:tcPr>
            <w:tcW w:w="2036" w:type="dxa"/>
            <w:noWrap w:val="0"/>
            <w:vAlign w:val="center"/>
          </w:tcPr>
          <w:p>
            <w:pPr>
              <w:spacing w:line="560" w:lineRule="exact"/>
              <w:jc w:val="center"/>
              <w:rPr>
                <w:rFonts w:hint="eastAsia" w:ascii="仿宋_GB2312" w:hAnsi="仿宋_GB2312" w:eastAsia="仿宋_GB2312" w:cs="仿宋_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8" w:hRule="atLeast"/>
          <w:jc w:val="center"/>
        </w:trPr>
        <w:tc>
          <w:tcPr>
            <w:tcW w:w="8002" w:type="dxa"/>
            <w:gridSpan w:val="4"/>
            <w:noWrap w:val="0"/>
            <w:vAlign w:val="top"/>
          </w:tcPr>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异议申请内容：（可附相关证明材料）</w:t>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公章：</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002" w:type="dxa"/>
            <w:gridSpan w:val="4"/>
            <w:noWrap w:val="0"/>
            <w:vAlign w:val="top"/>
          </w:tcPr>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医疗保障经办机构意见：</w:t>
            </w: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ind w:firstLine="4800" w:firstLineChars="15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公章</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000000"/>
                <w:kern w:val="0"/>
                <w:sz w:val="32"/>
                <w:szCs w:val="32"/>
                <w:highlight w:val="none"/>
                <w:lang w:bidi="ar"/>
              </w:rPr>
              <w:t>日期：</w:t>
            </w:r>
            <w:r>
              <w:rPr>
                <w:rFonts w:hint="eastAsia" w:ascii="仿宋_GB2312" w:hAnsi="仿宋_GB2312" w:eastAsia="仿宋_GB2312" w:cs="仿宋_GB2312"/>
                <w:sz w:val="32"/>
                <w:szCs w:val="32"/>
                <w:highlight w:val="none"/>
              </w:rPr>
              <w:t xml:space="preserve"> </w:t>
            </w:r>
          </w:p>
          <w:p>
            <w:pP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tc>
      </w:tr>
    </w:tbl>
    <w:p>
      <w:pPr>
        <w:rPr>
          <w:rFonts w:ascii="黑体" w:hAnsi="黑体" w:eastAsia="黑体" w:cs="黑体"/>
          <w:sz w:val="32"/>
          <w:szCs w:val="32"/>
          <w:highlight w:val="none"/>
          <w:lang w:bidi="ar"/>
        </w:rPr>
      </w:pPr>
      <w:r>
        <w:rPr>
          <w:rFonts w:hint="eastAsia"/>
          <w:highlight w:val="none"/>
        </w:rPr>
        <w:br w:type="page"/>
      </w:r>
      <w:r>
        <w:rPr>
          <w:rFonts w:hint="eastAsia" w:ascii="黑体" w:hAnsi="黑体" w:eastAsia="黑体" w:cs="黑体"/>
          <w:sz w:val="32"/>
          <w:szCs w:val="32"/>
          <w:highlight w:val="none"/>
          <w:lang w:bidi="ar"/>
        </w:rPr>
        <w:t>附件7</w:t>
      </w:r>
    </w:p>
    <w:p>
      <w:pPr>
        <w:pStyle w:val="4"/>
        <w:rPr>
          <w:rFonts w:hint="eastAsia"/>
          <w:highlight w:val="none"/>
        </w:rPr>
      </w:pPr>
    </w:p>
    <w:p>
      <w:pPr>
        <w:pStyle w:val="4"/>
        <w:widowControl/>
        <w:spacing w:line="600" w:lineRule="exact"/>
        <w:jc w:val="center"/>
        <w:rPr>
          <w:rFonts w:hint="eastAsia"/>
          <w:highlight w:val="none"/>
        </w:rPr>
      </w:pPr>
      <w:r>
        <w:rPr>
          <w:rFonts w:hint="eastAsia" w:ascii="方正小标宋简体" w:hAnsi="方正小标宋简体" w:eastAsia="方正小标宋简体" w:cs="方正小标宋简体"/>
          <w:color w:val="000000"/>
          <w:sz w:val="44"/>
          <w:szCs w:val="44"/>
          <w:highlight w:val="none"/>
          <w:lang w:bidi="ar"/>
        </w:rPr>
        <w:t>定点医药机构医保信用修复申请书</w:t>
      </w:r>
    </w:p>
    <w:tbl>
      <w:tblPr>
        <w:tblStyle w:val="8"/>
        <w:tblpPr w:leftFromText="180" w:rightFromText="180" w:vertAnchor="text" w:horzAnchor="page" w:tblpX="1882" w:tblpY="303"/>
        <w:tblOverlap w:val="never"/>
        <w:tblW w:w="5000" w:type="pct"/>
        <w:tblInd w:w="0" w:type="dxa"/>
        <w:tblLayout w:type="autofit"/>
        <w:tblCellMar>
          <w:top w:w="0" w:type="dxa"/>
          <w:left w:w="108" w:type="dxa"/>
          <w:bottom w:w="0" w:type="dxa"/>
          <w:right w:w="108" w:type="dxa"/>
        </w:tblCellMar>
      </w:tblPr>
      <w:tblGrid>
        <w:gridCol w:w="1054"/>
        <w:gridCol w:w="1883"/>
        <w:gridCol w:w="2765"/>
        <w:gridCol w:w="1160"/>
        <w:gridCol w:w="2198"/>
      </w:tblGrid>
      <w:tr>
        <w:tblPrEx>
          <w:tblCellMar>
            <w:top w:w="0" w:type="dxa"/>
            <w:left w:w="108" w:type="dxa"/>
            <w:bottom w:w="0" w:type="dxa"/>
            <w:right w:w="108" w:type="dxa"/>
          </w:tblCellMar>
        </w:tblPrEx>
        <w:trPr>
          <w:trHeight w:val="952"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机构名称</w:t>
            </w:r>
          </w:p>
        </w:tc>
        <w:tc>
          <w:tcPr>
            <w:tcW w:w="3378" w:type="pct"/>
            <w:gridSpan w:val="3"/>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9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w:t>
            </w:r>
          </w:p>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信用代码</w:t>
            </w:r>
          </w:p>
        </w:tc>
        <w:tc>
          <w:tcPr>
            <w:tcW w:w="15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联系电话</w:t>
            </w:r>
          </w:p>
        </w:tc>
        <w:tc>
          <w:tcPr>
            <w:tcW w:w="12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1023" w:hRule="atLeast"/>
        </w:trPr>
        <w:tc>
          <w:tcPr>
            <w:tcW w:w="5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不良信用</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文书号</w:t>
            </w:r>
          </w:p>
        </w:tc>
        <w:tc>
          <w:tcPr>
            <w:tcW w:w="1526" w:type="pct"/>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c>
          <w:tcPr>
            <w:tcW w:w="640" w:type="pct"/>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时间区间</w:t>
            </w:r>
          </w:p>
        </w:tc>
        <w:tc>
          <w:tcPr>
            <w:tcW w:w="1212" w:type="pct"/>
            <w:tcBorders>
              <w:top w:val="nil"/>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本单位声明，</w:t>
            </w:r>
            <w:r>
              <w:rPr>
                <w:rFonts w:hint="eastAsia" w:ascii="仿宋_GB2312" w:hAnsi="仿宋" w:eastAsia="仿宋_GB2312" w:cs="仿宋_GB2312"/>
                <w:sz w:val="32"/>
                <w:szCs w:val="32"/>
                <w:highlight w:val="none"/>
                <w:lang w:bidi="ar"/>
              </w:rPr>
              <w:t>已主动纠正失信行为、消除不良影响、履行处理决定，</w:t>
            </w:r>
            <w:r>
              <w:rPr>
                <w:rFonts w:hint="eastAsia" w:ascii="仿宋_GB2312" w:hAnsi="仿宋_GB2312" w:eastAsia="仿宋_GB2312" w:cs="仿宋_GB2312"/>
                <w:color w:val="000000"/>
                <w:kern w:val="0"/>
                <w:sz w:val="32"/>
                <w:szCs w:val="32"/>
                <w:highlight w:val="none"/>
                <w:lang w:bidi="ar"/>
              </w:rPr>
              <w:t>现申请</w:t>
            </w:r>
            <w:r>
              <w:rPr>
                <w:rFonts w:hint="eastAsia" w:ascii="仿宋_GB2312" w:eastAsia="仿宋_GB2312"/>
                <w:sz w:val="32"/>
                <w:szCs w:val="32"/>
                <w:highlight w:val="none"/>
              </w:rPr>
              <w:t>信用修复，后附整改报告和佐证材料</w:t>
            </w:r>
            <w:r>
              <w:rPr>
                <w:rFonts w:hint="eastAsia" w:ascii="仿宋_GB2312" w:hAnsi="仿宋_GB2312" w:eastAsia="仿宋_GB2312" w:cs="仿宋_GB2312"/>
                <w:color w:val="000000"/>
                <w:kern w:val="0"/>
                <w:sz w:val="32"/>
                <w:szCs w:val="32"/>
                <w:highlight w:val="none"/>
                <w:lang w:bidi="ar"/>
              </w:rPr>
              <w:t>。</w:t>
            </w:r>
          </w:p>
          <w:p>
            <w:pPr>
              <w:pStyle w:val="4"/>
              <w:rPr>
                <w:rFonts w:hint="eastAsia"/>
                <w:highlight w:val="none"/>
              </w:rPr>
            </w:pPr>
          </w:p>
          <w:p>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pPr>
              <w:widowControl/>
              <w:jc w:val="left"/>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 xml:space="preserve">                           日期：</w:t>
            </w:r>
          </w:p>
        </w:tc>
      </w:tr>
      <w:tr>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1101"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312" w:hRule="atLeast"/>
        </w:trPr>
        <w:tc>
          <w:tcPr>
            <w:tcW w:w="500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1782"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top"/>
          </w:tcPr>
          <w:p>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医疗保障经办机构意见：</w:t>
            </w:r>
          </w:p>
          <w:p>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pPr>
              <w:widowControl/>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pPr>
              <w:widowControl/>
              <w:textAlignment w:val="center"/>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pPr>
              <w:widowControl/>
              <w:textAlignment w:val="center"/>
              <w:rPr>
                <w:rFonts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日期：</w:t>
            </w:r>
          </w:p>
        </w:tc>
      </w:tr>
      <w:tr>
        <w:tblPrEx>
          <w:tblCellMar>
            <w:top w:w="0" w:type="dxa"/>
            <w:left w:w="108" w:type="dxa"/>
            <w:bottom w:w="0" w:type="dxa"/>
            <w:right w:w="108" w:type="dxa"/>
          </w:tblCellMar>
        </w:tblPrEx>
        <w:trPr>
          <w:trHeight w:val="538" w:hRule="atLeast"/>
        </w:trPr>
        <w:tc>
          <w:tcPr>
            <w:tcW w:w="5000" w:type="pct"/>
            <w:gridSpan w:val="5"/>
            <w:tcBorders>
              <w:top w:val="nil"/>
              <w:left w:val="nil"/>
              <w:bottom w:val="nil"/>
              <w:right w:val="nil"/>
            </w:tcBorders>
            <w:noWrap w:val="0"/>
            <w:vAlign w:val="center"/>
          </w:tcPr>
          <w:p>
            <w:pPr>
              <w:pStyle w:val="4"/>
              <w:widowControl/>
              <w:spacing w:after="0" w:line="560" w:lineRule="exact"/>
              <w:jc w:val="left"/>
              <w:rPr>
                <w:rFonts w:hint="eastAsia"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tc>
      </w:tr>
    </w:tbl>
    <w:p>
      <w:pPr>
        <w:widowControl/>
        <w:rPr>
          <w:rFonts w:hint="eastAsia" w:ascii="黑体" w:hAnsi="黑体" w:eastAsia="黑体" w:cs="黑体"/>
          <w:sz w:val="32"/>
          <w:szCs w:val="32"/>
          <w:highlight w:val="none"/>
          <w:lang w:bidi="ar"/>
        </w:rPr>
      </w:pPr>
      <w:r>
        <w:rPr>
          <w:rFonts w:hint="eastAsia" w:ascii="黑体" w:hAnsi="黑体" w:eastAsia="黑体" w:cs="黑体"/>
          <w:sz w:val="32"/>
          <w:szCs w:val="32"/>
          <w:highlight w:val="none"/>
          <w:lang w:bidi="ar"/>
        </w:rPr>
        <w:t>附件8</w:t>
      </w:r>
    </w:p>
    <w:p>
      <w:pPr>
        <w:pStyle w:val="4"/>
        <w:rPr>
          <w:highlight w:val="none"/>
        </w:rPr>
      </w:pPr>
    </w:p>
    <w:p>
      <w:pPr>
        <w:jc w:val="center"/>
        <w:rPr>
          <w:rFonts w:hint="eastAsia"/>
          <w:highlight w:val="none"/>
        </w:rPr>
      </w:pPr>
      <w:r>
        <w:rPr>
          <w:rFonts w:hint="eastAsia" w:ascii="方正小标宋简体" w:hAnsi="方正小标宋简体" w:eastAsia="方正小标宋简体" w:cs="方正小标宋简体"/>
          <w:color w:val="000000"/>
          <w:kern w:val="0"/>
          <w:sz w:val="44"/>
          <w:szCs w:val="44"/>
          <w:highlight w:val="none"/>
          <w:lang w:bidi="ar"/>
        </w:rPr>
        <w:t>定点医药机构医保信用修复告知书</w:t>
      </w:r>
    </w:p>
    <w:tbl>
      <w:tblPr>
        <w:tblStyle w:val="8"/>
        <w:tblpPr w:leftFromText="180" w:rightFromText="180" w:vertAnchor="text" w:horzAnchor="page" w:tblpX="1882" w:tblpY="303"/>
        <w:tblOverlap w:val="never"/>
        <w:tblW w:w="5000" w:type="pct"/>
        <w:tblInd w:w="0" w:type="dxa"/>
        <w:tblLayout w:type="autofit"/>
        <w:tblCellMar>
          <w:top w:w="0" w:type="dxa"/>
          <w:left w:w="108" w:type="dxa"/>
          <w:bottom w:w="0" w:type="dxa"/>
          <w:right w:w="108" w:type="dxa"/>
        </w:tblCellMar>
      </w:tblPr>
      <w:tblGrid>
        <w:gridCol w:w="1054"/>
        <w:gridCol w:w="1883"/>
        <w:gridCol w:w="6123"/>
      </w:tblGrid>
      <w:tr>
        <w:tblPrEx>
          <w:tblCellMar>
            <w:top w:w="0" w:type="dxa"/>
            <w:left w:w="108" w:type="dxa"/>
            <w:bottom w:w="0" w:type="dxa"/>
            <w:right w:w="108" w:type="dxa"/>
          </w:tblCellMar>
        </w:tblPrEx>
        <w:trPr>
          <w:trHeight w:val="1304" w:hRule="atLeast"/>
        </w:trPr>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医药机构</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kern w:val="0"/>
                <w:sz w:val="32"/>
                <w:szCs w:val="32"/>
                <w:highlight w:val="none"/>
                <w:lang w:bidi="ar"/>
              </w:rPr>
              <w:t>机构名称</w:t>
            </w:r>
          </w:p>
        </w:tc>
        <w:tc>
          <w:tcPr>
            <w:tcW w:w="3378" w:type="pct"/>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1304" w:hRule="atLeast"/>
        </w:trPr>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c>
          <w:tcPr>
            <w:tcW w:w="103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统一社会</w:t>
            </w:r>
          </w:p>
          <w:p>
            <w:pPr>
              <w:widowControl/>
              <w:jc w:val="center"/>
              <w:textAlignment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信用代码</w:t>
            </w:r>
          </w:p>
        </w:tc>
        <w:tc>
          <w:tcPr>
            <w:tcW w:w="33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firstLine="640" w:firstLineChars="200"/>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你单位申请的（文书号</w:t>
            </w:r>
            <w:r>
              <w:rPr>
                <w:rFonts w:hint="eastAsia" w:ascii="仿宋_GB2312" w:hAnsi="仿宋_GB2312" w:eastAsia="仿宋_GB2312" w:cs="仿宋_GB2312"/>
                <w:color w:val="000000"/>
                <w:kern w:val="0"/>
                <w:sz w:val="32"/>
                <w:szCs w:val="32"/>
                <w:highlight w:val="none"/>
                <w:u w:val="single"/>
                <w:lang w:bidi="ar"/>
              </w:rPr>
              <w:t xml:space="preserve">                </w:t>
            </w:r>
            <w:r>
              <w:rPr>
                <w:rFonts w:hint="eastAsia" w:ascii="仿宋_GB2312" w:hAnsi="仿宋_GB2312" w:eastAsia="仿宋_GB2312" w:cs="仿宋_GB2312"/>
                <w:color w:val="000000"/>
                <w:kern w:val="0"/>
                <w:sz w:val="32"/>
                <w:szCs w:val="32"/>
                <w:highlight w:val="none"/>
                <w:lang w:bidi="ar"/>
              </w:rPr>
              <w:t>）信用修复申请现已完成认定，修复结果为</w:t>
            </w:r>
            <w:r>
              <w:rPr>
                <w:rFonts w:hint="eastAsia" w:ascii="仿宋_GB2312" w:hAnsi="仿宋_GB2312" w:eastAsia="仿宋_GB2312" w:cs="仿宋_GB2312"/>
                <w:color w:val="000000"/>
                <w:kern w:val="0"/>
                <w:sz w:val="32"/>
                <w:szCs w:val="32"/>
                <w:highlight w:val="none"/>
                <w:u w:val="single"/>
                <w:lang w:bidi="ar"/>
              </w:rPr>
              <w:t xml:space="preserve">  通过/未通过  </w:t>
            </w:r>
            <w:r>
              <w:rPr>
                <w:rFonts w:hint="eastAsia" w:ascii="仿宋_GB2312" w:hAnsi="仿宋_GB2312" w:eastAsia="仿宋_GB2312" w:cs="仿宋_GB2312"/>
                <w:color w:val="000000"/>
                <w:kern w:val="0"/>
                <w:sz w:val="32"/>
                <w:szCs w:val="32"/>
                <w:highlight w:val="none"/>
                <w:lang w:bidi="ar"/>
              </w:rPr>
              <w:t>，特此告知。</w:t>
            </w:r>
          </w:p>
          <w:p>
            <w:pPr>
              <w:pStyle w:val="4"/>
              <w:rPr>
                <w:rFonts w:hint="eastAsia"/>
                <w:highlight w:val="none"/>
              </w:rPr>
            </w:pPr>
          </w:p>
          <w:p>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w:t>
            </w:r>
          </w:p>
          <w:p>
            <w:pPr>
              <w:pStyle w:val="2"/>
              <w:rPr>
                <w:rFonts w:hint="eastAsia" w:ascii="仿宋_GB2312" w:hAnsi="仿宋_GB2312" w:eastAsia="仿宋_GB2312" w:cs="仿宋_GB2312"/>
                <w:color w:val="000000"/>
                <w:kern w:val="0"/>
                <w:sz w:val="32"/>
                <w:szCs w:val="32"/>
                <w:highlight w:val="none"/>
                <w:lang w:bidi="ar"/>
              </w:rPr>
            </w:pPr>
          </w:p>
          <w:p>
            <w:pPr>
              <w:rPr>
                <w:rFonts w:hint="eastAsia" w:ascii="仿宋_GB2312" w:hAnsi="仿宋_GB2312" w:eastAsia="仿宋_GB2312" w:cs="仿宋_GB2312"/>
                <w:color w:val="000000"/>
                <w:kern w:val="0"/>
                <w:sz w:val="32"/>
                <w:szCs w:val="32"/>
                <w:highlight w:val="none"/>
                <w:lang w:bidi="ar"/>
              </w:rPr>
            </w:pPr>
          </w:p>
          <w:p>
            <w:pPr>
              <w:pStyle w:val="2"/>
              <w:rPr>
                <w:rFonts w:hint="eastAsia" w:ascii="仿宋_GB2312" w:hAnsi="仿宋_GB2312" w:eastAsia="仿宋_GB2312" w:cs="仿宋_GB2312"/>
                <w:color w:val="000000"/>
                <w:kern w:val="0"/>
                <w:sz w:val="32"/>
                <w:szCs w:val="32"/>
                <w:highlight w:val="none"/>
                <w:lang w:bidi="ar"/>
              </w:rPr>
            </w:pPr>
          </w:p>
          <w:p>
            <w:pPr>
              <w:rPr>
                <w:rFonts w:hint="eastAsia"/>
                <w:highlight w:val="none"/>
              </w:rPr>
            </w:pPr>
          </w:p>
          <w:p>
            <w:pPr>
              <w:widowControl/>
              <w:jc w:val="center"/>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公章：</w:t>
            </w:r>
          </w:p>
          <w:p>
            <w:pPr>
              <w:widowControl/>
              <w:jc w:val="left"/>
              <w:textAlignment w:val="center"/>
              <w:rPr>
                <w:rFonts w:hint="eastAsia" w:ascii="仿宋_GB2312" w:hAnsi="仿宋_GB2312" w:eastAsia="仿宋_GB2312" w:cs="仿宋_GB2312"/>
                <w:color w:val="000000"/>
                <w:kern w:val="0"/>
                <w:sz w:val="32"/>
                <w:szCs w:val="32"/>
                <w:highlight w:val="none"/>
                <w:lang w:bidi="ar"/>
              </w:rPr>
            </w:pPr>
            <w:r>
              <w:rPr>
                <w:rFonts w:hint="eastAsia" w:ascii="仿宋_GB2312" w:hAnsi="仿宋_GB2312" w:eastAsia="仿宋_GB2312" w:cs="仿宋_GB2312"/>
                <w:color w:val="000000"/>
                <w:kern w:val="0"/>
                <w:sz w:val="32"/>
                <w:szCs w:val="32"/>
                <w:highlight w:val="none"/>
                <w:lang w:bidi="ar"/>
              </w:rPr>
              <w:t xml:space="preserve">                           日期：</w:t>
            </w:r>
          </w:p>
          <w:p>
            <w:pPr>
              <w:widowControl/>
              <w:jc w:val="left"/>
              <w:textAlignment w:val="center"/>
              <w:rPr>
                <w:rFonts w:hint="eastAsia" w:ascii="仿宋_GB2312" w:hAnsi="仿宋_GB2312" w:eastAsia="仿宋_GB2312" w:cs="仿宋_GB2312"/>
                <w:color w:val="000000"/>
                <w:kern w:val="0"/>
                <w:sz w:val="32"/>
                <w:szCs w:val="32"/>
                <w:highlight w:val="none"/>
                <w:lang w:bidi="ar"/>
              </w:rPr>
            </w:pPr>
          </w:p>
          <w:p>
            <w:pPr>
              <w:pStyle w:val="2"/>
              <w:rPr>
                <w:rFonts w:hint="eastAsia"/>
                <w:highlight w:val="none"/>
              </w:rPr>
            </w:pPr>
          </w:p>
          <w:p>
            <w:pPr>
              <w:widowControl/>
              <w:jc w:val="left"/>
              <w:textAlignment w:val="center"/>
              <w:rPr>
                <w:rFonts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62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1101"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2514" w:hRule="atLeast"/>
        </w:trPr>
        <w:tc>
          <w:tcPr>
            <w:tcW w:w="500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color w:val="000000"/>
                <w:sz w:val="32"/>
                <w:szCs w:val="32"/>
                <w:highlight w:val="none"/>
              </w:rPr>
            </w:pPr>
          </w:p>
        </w:tc>
      </w:tr>
      <w:tr>
        <w:tblPrEx>
          <w:tblCellMar>
            <w:top w:w="0" w:type="dxa"/>
            <w:left w:w="108" w:type="dxa"/>
            <w:bottom w:w="0" w:type="dxa"/>
            <w:right w:w="108" w:type="dxa"/>
          </w:tblCellMar>
        </w:tblPrEx>
        <w:trPr>
          <w:trHeight w:val="538" w:hRule="atLeast"/>
        </w:trPr>
        <w:tc>
          <w:tcPr>
            <w:tcW w:w="5000" w:type="pct"/>
            <w:gridSpan w:val="3"/>
            <w:tcBorders>
              <w:top w:val="nil"/>
              <w:left w:val="nil"/>
              <w:bottom w:val="nil"/>
              <w:right w:val="nil"/>
            </w:tcBorders>
            <w:noWrap w:val="0"/>
            <w:vAlign w:val="center"/>
          </w:tcPr>
          <w:p>
            <w:pPr>
              <w:pStyle w:val="4"/>
              <w:widowControl/>
              <w:spacing w:after="0" w:line="560" w:lineRule="exact"/>
              <w:jc w:val="left"/>
              <w:rPr>
                <w:rFonts w:hint="eastAsia" w:ascii="仿宋_GB2312" w:eastAsia="仿宋_GB2312"/>
                <w:sz w:val="28"/>
                <w:szCs w:val="28"/>
                <w:highlight w:val="none"/>
              </w:rPr>
            </w:pPr>
            <w:r>
              <w:rPr>
                <w:rFonts w:hint="eastAsia" w:ascii="仿宋_GB2312" w:eastAsia="仿宋_GB2312"/>
                <w:sz w:val="28"/>
                <w:szCs w:val="28"/>
                <w:highlight w:val="none"/>
              </w:rPr>
              <w:t>本文书一式两份，经办机构留存一份，医药机构留存一份。</w:t>
            </w:r>
          </w:p>
        </w:tc>
      </w:tr>
    </w:tbl>
    <w:p>
      <w:pPr>
        <w:rPr>
          <w:rFonts w:hint="eastAsia"/>
          <w:highlight w:val="none"/>
        </w:rPr>
      </w:pPr>
    </w:p>
    <w:sectPr>
      <w:headerReference r:id="rId5" w:type="default"/>
      <w:footerReference r:id="rId6"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-132715</wp:posOffset>
              </wp:positionV>
              <wp:extent cx="927100" cy="30607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27100" cy="306070"/>
                      </a:xfrm>
                      <a:prstGeom prst="rect">
                        <a:avLst/>
                      </a:prstGeom>
                      <a:noFill/>
                      <a:ln>
                        <a:noFill/>
                      </a:ln>
                    </wps:spPr>
                    <wps:txbx>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文本框 2" o:spid="_x0000_s1026" o:spt="202" type="#_x0000_t202" style="position:absolute;left:0pt;margin-top:-10.45pt;height:24.1pt;width:73pt;mso-position-horizontal:outside;mso-position-horizontal-relative:margin;z-index:251658240;mso-width-relative:page;mso-height-relative:page;" filled="f" stroked="f" coordsize="21600,21600" o:gfxdata="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Ku2DfWAAAABwEAAA8AAAAAAAAAAQAgAAAAOAAAAGRycy9kb3ducmV2LnhtbFBL&#10;AQIUABQAAAAIAIdO4kAs6+RmqQEAADcDAAAOAAAAAAAAAAEAIAAAADsBAABkcnMvZTJvRG9jLnht&#10;bFBLBQYAAAAABgAGAFkBAABWBQAAAAA=&#10;">
              <v:fill on="f" focussize="0,0"/>
              <v:stroke on="f"/>
              <v:imagedata o:title=""/>
              <o:lock v:ext="edit" aspectratio="f"/>
              <v:textbox inset="0mm,0mm,0mm,0mm">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-132715</wp:posOffset>
              </wp:positionV>
              <wp:extent cx="927100" cy="30607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927100" cy="306070"/>
                      </a:xfrm>
                      <a:prstGeom prst="rect">
                        <a:avLst/>
                      </a:prstGeom>
                      <a:noFill/>
                      <a:ln>
                        <a:noFill/>
                      </a:ln>
                    </wps:spPr>
                    <wps:txbx>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true"/>
                  </wps:wsp>
                </a:graphicData>
              </a:graphic>
            </wp:anchor>
          </w:drawing>
        </mc:Choice>
        <mc:Fallback>
          <w:pict>
            <v:shape id="_x0000_s1026" o:spid="_x0000_s1026" o:spt="202" type="#_x0000_t202" style="position:absolute;left:0pt;margin-top:-10.45pt;height:24.1pt;width:73pt;mso-position-horizontal:left;mso-position-horizontal-relative:margin;z-index:251659264;mso-width-relative:page;mso-height-relative:page;" filled="f" stroked="f" coordsize="21600,21600" o:gfxdata="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Srtg31gAAAAcBAAAPAAAAAAAAAAEAIAAAADgAAABkcnMvZG93bnJldi54bWxQ&#10;SwECFAAUAAAACACHTuJA02XEkaoBAAA3AwAADgAAAAAAAAABACAAAAA7AQAAZHJzL2Uyb0RvYy54&#10;bWxQSwUGAAAAAAYABgBZAQAAVwUAAAAA&#10;">
              <v:fill on="f" focussize="0,0"/>
              <v:stroke on="f"/>
              <v:imagedata o:title=""/>
              <o:lock v:ext="edit" aspectratio="f"/>
              <v:textbox inset="0mm,0mm,0mm,0mm">
                <w:txbxContent>
                  <w:p>
                    <w:pPr>
                      <w:snapToGrid w:val="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D4D1"/>
    <w:multiLevelType w:val="singleLevel"/>
    <w:tmpl w:val="EFACD4D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BB742F"/>
    <w:rsid w:val="0065083A"/>
    <w:rsid w:val="0086161D"/>
    <w:rsid w:val="00E12734"/>
    <w:rsid w:val="02AE0591"/>
    <w:rsid w:val="07F67589"/>
    <w:rsid w:val="0A7457D9"/>
    <w:rsid w:val="16011E53"/>
    <w:rsid w:val="17DF4356"/>
    <w:rsid w:val="24FF5A0F"/>
    <w:rsid w:val="262D647D"/>
    <w:rsid w:val="277CFB59"/>
    <w:rsid w:val="277E7501"/>
    <w:rsid w:val="373F4694"/>
    <w:rsid w:val="377DB19D"/>
    <w:rsid w:val="37DB0ECC"/>
    <w:rsid w:val="3AA76BFD"/>
    <w:rsid w:val="3AD7F6CD"/>
    <w:rsid w:val="3EB4D689"/>
    <w:rsid w:val="3EFC6A65"/>
    <w:rsid w:val="3EFF4E0F"/>
    <w:rsid w:val="3F366CB8"/>
    <w:rsid w:val="45EF0770"/>
    <w:rsid w:val="484C1C88"/>
    <w:rsid w:val="4BF46E26"/>
    <w:rsid w:val="4DAD0D97"/>
    <w:rsid w:val="4FFDEABF"/>
    <w:rsid w:val="57AF21B6"/>
    <w:rsid w:val="57DF6FD1"/>
    <w:rsid w:val="57EF2205"/>
    <w:rsid w:val="5B6F7931"/>
    <w:rsid w:val="5B7833C7"/>
    <w:rsid w:val="5BFB73D1"/>
    <w:rsid w:val="5D780E14"/>
    <w:rsid w:val="5DB51DD5"/>
    <w:rsid w:val="5DEB5909"/>
    <w:rsid w:val="5E562CC3"/>
    <w:rsid w:val="5F58B324"/>
    <w:rsid w:val="69AF1DD3"/>
    <w:rsid w:val="6DA81678"/>
    <w:rsid w:val="6E5716E5"/>
    <w:rsid w:val="6EB73E78"/>
    <w:rsid w:val="6EFFA90B"/>
    <w:rsid w:val="73475C8A"/>
    <w:rsid w:val="73FFBFDB"/>
    <w:rsid w:val="75D567B1"/>
    <w:rsid w:val="75F7C4BB"/>
    <w:rsid w:val="77FA8F5C"/>
    <w:rsid w:val="796EC073"/>
    <w:rsid w:val="79F146D1"/>
    <w:rsid w:val="79F7675B"/>
    <w:rsid w:val="7AF7FF80"/>
    <w:rsid w:val="7B6FE4AF"/>
    <w:rsid w:val="7BEFF9A0"/>
    <w:rsid w:val="7DF6F44A"/>
    <w:rsid w:val="7E290901"/>
    <w:rsid w:val="7EBEB265"/>
    <w:rsid w:val="7EEF183D"/>
    <w:rsid w:val="7F3F3550"/>
    <w:rsid w:val="7F3FBBDB"/>
    <w:rsid w:val="7F4B4E64"/>
    <w:rsid w:val="7F9B129F"/>
    <w:rsid w:val="7FB9A23C"/>
    <w:rsid w:val="7FBDEDC8"/>
    <w:rsid w:val="7FBEC374"/>
    <w:rsid w:val="7FBFF401"/>
    <w:rsid w:val="7FDAB0EB"/>
    <w:rsid w:val="7FEFF37D"/>
    <w:rsid w:val="7FFFEF1F"/>
    <w:rsid w:val="9FAFD2B5"/>
    <w:rsid w:val="9FBB742F"/>
    <w:rsid w:val="AD7F1562"/>
    <w:rsid w:val="AF5F19FB"/>
    <w:rsid w:val="BCDF7DBE"/>
    <w:rsid w:val="BD8D436E"/>
    <w:rsid w:val="BDE3677E"/>
    <w:rsid w:val="BDF88BD2"/>
    <w:rsid w:val="BE326D9A"/>
    <w:rsid w:val="BFBC8D6D"/>
    <w:rsid w:val="BFD77662"/>
    <w:rsid w:val="BFDBBF04"/>
    <w:rsid w:val="BFDF568E"/>
    <w:rsid w:val="BFFFBA76"/>
    <w:rsid w:val="C26B3E07"/>
    <w:rsid w:val="CEE3A6CF"/>
    <w:rsid w:val="CFF950F3"/>
    <w:rsid w:val="D1872F25"/>
    <w:rsid w:val="DB330FA1"/>
    <w:rsid w:val="DEFAB7F9"/>
    <w:rsid w:val="DEFF2F93"/>
    <w:rsid w:val="DF17989D"/>
    <w:rsid w:val="DFEF68E7"/>
    <w:rsid w:val="DFFDC159"/>
    <w:rsid w:val="E3DF4B48"/>
    <w:rsid w:val="EAFFEEEC"/>
    <w:rsid w:val="ECFF1328"/>
    <w:rsid w:val="EE63324D"/>
    <w:rsid w:val="EFBFA538"/>
    <w:rsid w:val="EFEA1D32"/>
    <w:rsid w:val="F21F5033"/>
    <w:rsid w:val="F4FDBAB4"/>
    <w:rsid w:val="F57F45D7"/>
    <w:rsid w:val="F5BD27BE"/>
    <w:rsid w:val="F631808C"/>
    <w:rsid w:val="F6709E7E"/>
    <w:rsid w:val="F6E33643"/>
    <w:rsid w:val="F6FD76CF"/>
    <w:rsid w:val="F76F88D5"/>
    <w:rsid w:val="F85EE97B"/>
    <w:rsid w:val="FA6F30C5"/>
    <w:rsid w:val="FAFB6A4A"/>
    <w:rsid w:val="FB5F07CB"/>
    <w:rsid w:val="FB7D7737"/>
    <w:rsid w:val="FBDFCF34"/>
    <w:rsid w:val="FBEB5815"/>
    <w:rsid w:val="FCBDFE9A"/>
    <w:rsid w:val="FCBF1EC5"/>
    <w:rsid w:val="FD1EF779"/>
    <w:rsid w:val="FDFF3EFF"/>
    <w:rsid w:val="FEF57300"/>
    <w:rsid w:val="FEF93327"/>
    <w:rsid w:val="FF3F8BD5"/>
    <w:rsid w:val="FF5FD05E"/>
    <w:rsid w:val="FF8782F7"/>
    <w:rsid w:val="FFAB0049"/>
    <w:rsid w:val="FFDE4EE2"/>
    <w:rsid w:val="FFDE7779"/>
    <w:rsid w:val="FFFDA98F"/>
    <w:rsid w:val="FFFE57B3"/>
    <w:rsid w:val="FFFE59F5"/>
    <w:rsid w:val="FFFFFA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line="240" w:lineRule="auto"/>
      <w:ind w:firstLine="0" w:firstLineChars="0"/>
      <w:jc w:val="both"/>
    </w:pPr>
    <w:rPr>
      <w:rFonts w:ascii="Calibri" w:hAnsi="Calibri" w:eastAsia="宋体" w:cs="Times New Roman"/>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rFonts w:ascii="Calibri" w:hAnsi="Calibri" w:eastAsia="宋体"/>
      <w:kern w:val="0"/>
      <w:sz w:val="24"/>
    </w:rPr>
  </w:style>
  <w:style w:type="table" w:styleId="9">
    <w:name w:val="Table Grid"/>
    <w:basedOn w:val="8"/>
    <w:unhideWhenUsed/>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fontstyle01"/>
    <w:basedOn w:val="10"/>
    <w:qFormat/>
    <w:uiPriority w:val="0"/>
    <w:rPr>
      <w:rFonts w:hint="eastAsia" w:ascii="仿宋_GB2312" w:hAnsi="仿宋_GB2312" w:eastAsia="仿宋_GB2312"/>
      <w:color w:val="000000"/>
      <w:sz w:val="32"/>
      <w:szCs w:val="32"/>
    </w:rPr>
  </w:style>
  <w:style w:type="character" w:customStyle="1" w:styleId="12">
    <w:name w:val="font11"/>
    <w:basedOn w:val="10"/>
    <w:qFormat/>
    <w:uiPriority w:val="0"/>
    <w:rPr>
      <w:rFonts w:hint="eastAsia" w:ascii="宋体" w:hAnsi="宋体" w:eastAsia="宋体" w:cs="宋体"/>
      <w:color w:val="000000"/>
      <w:sz w:val="22"/>
      <w:szCs w:val="22"/>
      <w:u w:val="none"/>
    </w:rPr>
  </w:style>
  <w:style w:type="character" w:customStyle="1" w:styleId="13">
    <w:name w:val="font21"/>
    <w:basedOn w:val="10"/>
    <w:qFormat/>
    <w:uiPriority w:val="0"/>
    <w:rPr>
      <w:rFonts w:hint="eastAsia" w:ascii="宋体" w:hAnsi="宋体" w:eastAsia="宋体" w:cs="宋体"/>
      <w:color w:val="000000"/>
      <w:sz w:val="28"/>
      <w:szCs w:val="28"/>
      <w:u w:val="none"/>
    </w:rPr>
  </w:style>
  <w:style w:type="character" w:customStyle="1" w:styleId="14">
    <w:name w:val="font31"/>
    <w:basedOn w:val="10"/>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67</Pages>
  <Words>2573</Words>
  <Characters>14669</Characters>
  <Lines>122</Lines>
  <Paragraphs>34</Paragraphs>
  <TotalTime>36</TotalTime>
  <ScaleCrop>false</ScaleCrop>
  <LinksUpToDate>false</LinksUpToDate>
  <CharactersWithSpaces>17208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2023-01-02T16:40:00Z</dcterms:created>
  <dc:creator>user</dc:creator>
  <cp:lastModifiedBy>user</cp:lastModifiedBy>
  <cp:lastPrinted>2024-12-29T16:58:00Z</cp:lastPrinted>
  <dcterms:modified xsi:type="dcterms:W3CDTF">2025-04-11T11:24:05Z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781B7075F0A64801A562690A3A0C0258</vt:lpwstr>
  </property>
</Properties>
</file>