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附件4</w:t>
      </w:r>
    </w:p>
    <w:p>
      <w:pPr>
        <w:spacing w:line="640" w:lineRule="exact"/>
        <w:rPr>
          <w:rFonts w:ascii="黑体" w:hAnsi="黑体" w:eastAsia="黑体" w:cs="黑体"/>
          <w:sz w:val="32"/>
          <w:szCs w:val="32"/>
        </w:rPr>
      </w:pPr>
    </w:p>
    <w:p>
      <w:pPr>
        <w:spacing w:line="640" w:lineRule="exact"/>
        <w:ind w:firstLine="2640" w:firstLineChars="6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不孕不育门诊</w:t>
      </w:r>
      <w:r>
        <w:rPr>
          <w:rFonts w:hint="default" w:ascii="方正小标宋简体" w:hAnsi="方正小标宋简体" w:eastAsia="方正小标宋简体" w:cs="方正小标宋简体"/>
          <w:sz w:val="44"/>
          <w:szCs w:val="44"/>
        </w:rPr>
        <w:t>部分</w:t>
      </w:r>
      <w:r>
        <w:rPr>
          <w:rFonts w:hint="eastAsia" w:ascii="方正小标宋简体" w:hAnsi="方正小标宋简体" w:eastAsia="方正小标宋简体" w:cs="方正小标宋简体"/>
          <w:sz w:val="44"/>
          <w:szCs w:val="44"/>
        </w:rPr>
        <w:t>技术治疗认定标准</w:t>
      </w:r>
    </w:p>
    <w:p>
      <w:pPr>
        <w:spacing w:line="640" w:lineRule="exact"/>
        <w:ind w:firstLine="2640" w:firstLineChars="600"/>
        <w:rPr>
          <w:rFonts w:ascii="方正小标宋_GBK" w:hAnsi="方正小标宋_GBK" w:eastAsia="方正小标宋_GBK" w:cs="方正小标宋_GBK"/>
          <w:sz w:val="44"/>
          <w:szCs w:val="44"/>
        </w:rPr>
      </w:pPr>
    </w:p>
    <w:tbl>
      <w:tblPr>
        <w:tblStyle w:val="4"/>
        <w:tblW w:w="13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5"/>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5" w:type="dxa"/>
          </w:tcPr>
          <w:p>
            <w:pPr>
              <w:jc w:val="center"/>
              <w:rPr>
                <w:rFonts w:ascii="黑体" w:hAnsi="黑体" w:eastAsia="黑体" w:cs="黑体"/>
                <w:sz w:val="30"/>
                <w:szCs w:val="30"/>
              </w:rPr>
            </w:pPr>
            <w:r>
              <w:rPr>
                <w:rFonts w:hint="eastAsia" w:ascii="黑体" w:hAnsi="黑体" w:eastAsia="黑体" w:cs="黑体"/>
                <w:sz w:val="30"/>
                <w:szCs w:val="30"/>
              </w:rPr>
              <w:t>病种名称</w:t>
            </w:r>
          </w:p>
        </w:tc>
        <w:tc>
          <w:tcPr>
            <w:tcW w:w="8760" w:type="dxa"/>
          </w:tcPr>
          <w:p>
            <w:pPr>
              <w:jc w:val="center"/>
              <w:rPr>
                <w:rFonts w:ascii="黑体" w:hAnsi="黑体" w:eastAsia="黑体" w:cs="黑体"/>
                <w:sz w:val="30"/>
                <w:szCs w:val="30"/>
              </w:rPr>
            </w:pPr>
            <w:r>
              <w:rPr>
                <w:rFonts w:hint="eastAsia" w:ascii="黑体" w:hAnsi="黑体" w:eastAsia="黑体" w:cs="黑体"/>
                <w:sz w:val="30"/>
                <w:szCs w:val="30"/>
              </w:rPr>
              <w:t>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4725" w:type="dxa"/>
          </w:tcPr>
          <w:p>
            <w:pPr>
              <w:jc w:val="cente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不孕不育门诊辅助生殖技术治疗</w:t>
            </w:r>
          </w:p>
        </w:tc>
        <w:tc>
          <w:tcPr>
            <w:tcW w:w="876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需同时符合以下条件：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1.经二级及以上定点医疗机构诊断为不孕不育症</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2.在经卫生健康部门批准开展人类辅助生殖技术的定点医疗机构开展辅助生殖治疗</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MjIyN2VjZThjZWU5ZTI3MWE3MTQwYzczMDI3MmEifQ=="/>
  </w:docVars>
  <w:rsids>
    <w:rsidRoot w:val="00000000"/>
    <w:rsid w:val="6F866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qFormat/>
    <w:uiPriority w:val="0"/>
    <w:pPr>
      <w:snapToGrid w:val="0"/>
      <w:spacing w:line="640" w:lineRule="exact"/>
      <w:ind w:firstLine="705"/>
    </w:pPr>
    <w:rPr>
      <w:rFonts w:ascii="仿宋_GB2312" w:eastAsia="仿宋_GB2312" w:cs="仿宋_GB2312"/>
      <w:color w:val="000000"/>
      <w:sz w:val="36"/>
      <w:szCs w:val="36"/>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2024-03-15T01:39:24Z</dcterms:created>
  <dc:creator>Administrator</dc:creator>
  <cp:lastModifiedBy>星邪影月</cp:lastModifiedBy>
  <dcterms:modified xsi:type="dcterms:W3CDTF">2024-03-15T01:39:39Z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46C8CD68E47544EE9A0B725E0908121C_12</vt:lpwstr>
  </property>
</Properties>
</file>