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73E12">
      <w:pPr>
        <w:spacing w:line="600" w:lineRule="exact"/>
        <w:jc w:val="center"/>
        <w:rPr>
          <w:rFonts w:hint="eastAsia" w:ascii="方正小标宋_GBK" w:hAnsi="方正小标宋_GBK" w:eastAsia="方正小标宋_GBK" w:cs="方正小标宋_GBK"/>
          <w:b/>
          <w:color w:val="auto"/>
          <w:spacing w:val="-20"/>
          <w:sz w:val="44"/>
          <w:szCs w:val="44"/>
        </w:rPr>
      </w:pPr>
    </w:p>
    <w:p w14:paraId="60116098">
      <w:pPr>
        <w:spacing w:line="600" w:lineRule="exact"/>
        <w:jc w:val="center"/>
        <w:rPr>
          <w:rFonts w:hint="eastAsia" w:ascii="方正小标宋_GBK" w:hAnsi="方正小标宋_GBK" w:eastAsia="方正小标宋_GBK" w:cs="方正小标宋_GBK"/>
          <w:b/>
          <w:color w:val="auto"/>
          <w:spacing w:val="-20"/>
          <w:sz w:val="44"/>
          <w:szCs w:val="44"/>
        </w:rPr>
      </w:pPr>
    </w:p>
    <w:p w14:paraId="590B866E">
      <w:pPr>
        <w:spacing w:line="600" w:lineRule="exact"/>
        <w:jc w:val="center"/>
        <w:rPr>
          <w:rFonts w:hint="eastAsia" w:ascii="方正小标宋_GBK" w:hAnsi="方正小标宋_GBK" w:eastAsia="方正小标宋_GBK" w:cs="方正小标宋_GBK"/>
          <w:b/>
          <w:color w:val="auto"/>
          <w:spacing w:val="-20"/>
          <w:sz w:val="44"/>
          <w:szCs w:val="44"/>
        </w:rPr>
      </w:pPr>
    </w:p>
    <w:p w14:paraId="5696CA5B">
      <w:pPr>
        <w:spacing w:line="600" w:lineRule="exact"/>
        <w:jc w:val="center"/>
        <w:rPr>
          <w:rFonts w:hint="eastAsia" w:ascii="方正小标宋_GBK" w:hAnsi="方正小标宋_GBK" w:eastAsia="方正小标宋_GBK" w:cs="方正小标宋_GBK"/>
          <w:b/>
          <w:color w:val="auto"/>
          <w:spacing w:val="-20"/>
          <w:sz w:val="44"/>
          <w:szCs w:val="44"/>
        </w:rPr>
      </w:pPr>
    </w:p>
    <w:p w14:paraId="6272DF74">
      <w:pPr>
        <w:spacing w:line="600" w:lineRule="exact"/>
        <w:jc w:val="center"/>
        <w:rPr>
          <w:rFonts w:hint="eastAsia" w:ascii="方正小标宋_GBK" w:hAnsi="方正小标宋_GBK" w:eastAsia="方正小标宋_GBK" w:cs="方正小标宋_GBK"/>
          <w:b w:val="0"/>
          <w:bCs/>
          <w:color w:val="auto"/>
          <w:spacing w:val="-20"/>
          <w:sz w:val="44"/>
          <w:szCs w:val="44"/>
        </w:rPr>
      </w:pPr>
      <w:r>
        <w:rPr>
          <w:rFonts w:hint="eastAsia" w:ascii="方正小标宋_GBK" w:hAnsi="方正小标宋_GBK" w:eastAsia="方正小标宋_GBK" w:cs="方正小标宋_GBK"/>
          <w:b w:val="0"/>
          <w:bCs/>
          <w:color w:val="auto"/>
          <w:spacing w:val="-20"/>
          <w:sz w:val="44"/>
          <w:szCs w:val="44"/>
        </w:rPr>
        <w:t>山东省基本医疗保险医用耗材</w:t>
      </w:r>
      <w:r>
        <w:rPr>
          <w:rFonts w:hint="eastAsia" w:ascii="方正小标宋_GBK" w:hAnsi="方正小标宋_GBK" w:eastAsia="方正小标宋_GBK" w:cs="方正小标宋_GBK"/>
          <w:b w:val="0"/>
          <w:bCs/>
          <w:color w:val="auto"/>
          <w:spacing w:val="-20"/>
          <w:sz w:val="44"/>
          <w:szCs w:val="44"/>
          <w:lang w:eastAsia="zh-CN"/>
        </w:rPr>
        <w:t>支付</w:t>
      </w:r>
      <w:r>
        <w:rPr>
          <w:rFonts w:hint="eastAsia" w:ascii="方正小标宋_GBK" w:hAnsi="方正小标宋_GBK" w:eastAsia="方正小标宋_GBK" w:cs="方正小标宋_GBK"/>
          <w:b w:val="0"/>
          <w:bCs/>
          <w:color w:val="auto"/>
          <w:spacing w:val="-20"/>
          <w:sz w:val="44"/>
          <w:szCs w:val="44"/>
        </w:rPr>
        <w:t>管理</w:t>
      </w:r>
    </w:p>
    <w:p w14:paraId="62787D53">
      <w:pPr>
        <w:spacing w:line="600" w:lineRule="exact"/>
        <w:jc w:val="center"/>
        <w:rPr>
          <w:rFonts w:hint="eastAsia" w:ascii="方正小标宋_GBK" w:hAnsi="方正小标宋_GBK" w:eastAsia="方正小标宋_GBK" w:cs="方正小标宋_GBK"/>
          <w:b w:val="0"/>
          <w:bCs/>
          <w:color w:val="auto"/>
          <w:spacing w:val="-20"/>
          <w:sz w:val="44"/>
          <w:szCs w:val="44"/>
        </w:rPr>
      </w:pPr>
      <w:r>
        <w:rPr>
          <w:rFonts w:hint="eastAsia" w:ascii="方正小标宋_GBK" w:hAnsi="方正小标宋_GBK" w:eastAsia="方正小标宋_GBK" w:cs="方正小标宋_GBK"/>
          <w:b w:val="0"/>
          <w:bCs/>
          <w:color w:val="auto"/>
          <w:spacing w:val="-20"/>
          <w:sz w:val="44"/>
          <w:szCs w:val="44"/>
        </w:rPr>
        <w:t>暂行办法</w:t>
      </w:r>
    </w:p>
    <w:p w14:paraId="52113DD9">
      <w:pPr>
        <w:jc w:val="center"/>
        <w:rPr>
          <w:rFonts w:ascii="仿宋_GB2312" w:hAnsi="仿宋" w:eastAsia="仿宋_GB2312"/>
          <w:color w:val="auto"/>
          <w:sz w:val="32"/>
          <w:szCs w:val="32"/>
        </w:rPr>
      </w:pPr>
      <w:r>
        <w:rPr>
          <w:rFonts w:hint="eastAsia" w:ascii="方正楷体简体" w:hAnsi="方正楷体简体" w:eastAsia="方正楷体简体" w:cs="方正楷体简体"/>
          <w:color w:val="auto"/>
          <w:sz w:val="32"/>
          <w:szCs w:val="32"/>
        </w:rPr>
        <w:t>（</w:t>
      </w:r>
      <w:r>
        <w:rPr>
          <w:rFonts w:hint="eastAsia" w:ascii="方正楷体简体" w:hAnsi="方正楷体简体" w:eastAsia="方正楷体简体" w:cs="方正楷体简体"/>
          <w:color w:val="auto"/>
          <w:sz w:val="32"/>
          <w:szCs w:val="32"/>
          <w:lang w:val="en-US" w:eastAsia="zh-CN"/>
        </w:rPr>
        <w:t>征求意见</w:t>
      </w:r>
      <w:r>
        <w:rPr>
          <w:rFonts w:hint="eastAsia" w:ascii="方正楷体简体" w:hAnsi="方正楷体简体" w:eastAsia="方正楷体简体" w:cs="方正楷体简体"/>
          <w:color w:val="auto"/>
          <w:sz w:val="32"/>
          <w:szCs w:val="32"/>
        </w:rPr>
        <w:t>稿）</w:t>
      </w:r>
    </w:p>
    <w:p w14:paraId="120B7561">
      <w:pPr>
        <w:ind w:firstLine="640" w:firstLineChars="200"/>
        <w:rPr>
          <w:rFonts w:hint="eastAsia" w:ascii="仿宋_GB2312" w:hAnsi="仿宋" w:eastAsia="仿宋_GB2312"/>
          <w:color w:val="auto"/>
          <w:sz w:val="32"/>
          <w:szCs w:val="32"/>
          <w:highlight w:val="yellow"/>
          <w:lang w:val="en-US" w:eastAsia="zh-CN"/>
        </w:rPr>
      </w:pPr>
    </w:p>
    <w:p w14:paraId="3D0681E0">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val="0"/>
          <w:bCs/>
          <w:color w:val="auto"/>
          <w:sz w:val="32"/>
          <w:szCs w:val="32"/>
        </w:rPr>
      </w:pPr>
      <w:r>
        <w:rPr>
          <w:rFonts w:hint="eastAsia" w:ascii="黑体" w:hAnsi="黑体" w:eastAsia="黑体"/>
          <w:b w:val="0"/>
          <w:bCs/>
          <w:color w:val="auto"/>
          <w:sz w:val="32"/>
          <w:szCs w:val="32"/>
        </w:rPr>
        <w:t xml:space="preserve">第一章 </w:t>
      </w:r>
      <w:r>
        <w:rPr>
          <w:rFonts w:hint="eastAsia" w:ascii="黑体" w:hAnsi="黑体" w:eastAsia="黑体"/>
          <w:b w:val="0"/>
          <w:bCs/>
          <w:color w:val="auto"/>
          <w:sz w:val="32"/>
          <w:szCs w:val="32"/>
          <w:lang w:val="en-US" w:eastAsia="zh-CN"/>
        </w:rPr>
        <w:t xml:space="preserve"> </w:t>
      </w:r>
      <w:r>
        <w:rPr>
          <w:rFonts w:hint="eastAsia" w:ascii="黑体" w:hAnsi="黑体" w:eastAsia="黑体"/>
          <w:b w:val="0"/>
          <w:bCs/>
          <w:color w:val="auto"/>
          <w:sz w:val="32"/>
          <w:szCs w:val="32"/>
        </w:rPr>
        <w:t>总  则</w:t>
      </w:r>
    </w:p>
    <w:p w14:paraId="3A3D1A1A">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第一条</w:t>
      </w:r>
      <w:r>
        <w:rPr>
          <w:rFonts w:hint="eastAsia" w:ascii="仿宋_GB2312" w:hAnsi="仿宋" w:eastAsia="仿宋_GB2312"/>
          <w:color w:val="auto"/>
          <w:sz w:val="32"/>
          <w:szCs w:val="32"/>
          <w:lang w:val="en-US" w:eastAsia="zh-CN"/>
        </w:rPr>
        <w:t xml:space="preserve"> </w:t>
      </w:r>
      <w:r>
        <w:rPr>
          <w:rFonts w:hint="eastAsia" w:ascii="仿宋_GB2312" w:hAnsi="仿宋" w:eastAsia="仿宋_GB2312"/>
          <w:color w:val="auto"/>
          <w:sz w:val="32"/>
          <w:szCs w:val="32"/>
        </w:rPr>
        <w:t>为规范医用耗材医保</w:t>
      </w:r>
      <w:r>
        <w:rPr>
          <w:rFonts w:hint="eastAsia" w:ascii="仿宋_GB2312" w:hAnsi="仿宋" w:eastAsia="仿宋_GB2312"/>
          <w:color w:val="auto"/>
          <w:sz w:val="32"/>
          <w:szCs w:val="32"/>
          <w:lang w:eastAsia="zh-CN"/>
        </w:rPr>
        <w:t>支付</w:t>
      </w:r>
      <w:r>
        <w:rPr>
          <w:rFonts w:hint="eastAsia" w:ascii="仿宋_GB2312" w:hAnsi="仿宋" w:eastAsia="仿宋_GB2312"/>
          <w:color w:val="auto"/>
          <w:sz w:val="32"/>
          <w:szCs w:val="32"/>
        </w:rPr>
        <w:t>准入管理，提升医用耗材</w:t>
      </w:r>
      <w:r>
        <w:rPr>
          <w:rFonts w:hint="eastAsia" w:ascii="仿宋_GB2312" w:hAnsi="仿宋" w:eastAsia="仿宋_GB2312"/>
          <w:color w:val="auto"/>
          <w:sz w:val="32"/>
          <w:szCs w:val="32"/>
          <w:lang w:eastAsia="zh-CN"/>
        </w:rPr>
        <w:t>医疗</w:t>
      </w:r>
      <w:r>
        <w:rPr>
          <w:rFonts w:hint="eastAsia" w:ascii="仿宋_GB2312" w:hAnsi="仿宋" w:eastAsia="仿宋_GB2312"/>
          <w:color w:val="auto"/>
          <w:sz w:val="32"/>
          <w:szCs w:val="32"/>
        </w:rPr>
        <w:t>保障水平，维护人民群众的健康权益，提高医保基金使用效益，根据《中华人民共和国社会保险法》《国务院办公厅关于印发治理高值医用耗材改革方案的通知》（国办发〔2019〕37号）</w:t>
      </w:r>
      <w:r>
        <w:rPr>
          <w:rFonts w:hint="eastAsia" w:ascii="仿宋_GB2312" w:hAnsi="仿宋" w:eastAsia="仿宋_GB2312"/>
          <w:color w:val="auto"/>
          <w:sz w:val="32"/>
          <w:szCs w:val="32"/>
          <w:lang w:eastAsia="zh-CN"/>
        </w:rPr>
        <w:t>、《</w:t>
      </w:r>
      <w:r>
        <w:rPr>
          <w:rFonts w:hint="eastAsia" w:ascii="仿宋_GB2312" w:hAnsi="仿宋" w:eastAsia="仿宋_GB2312" w:cstheme="minorBidi"/>
          <w:color w:val="auto"/>
          <w:kern w:val="2"/>
          <w:sz w:val="32"/>
          <w:szCs w:val="32"/>
        </w:rPr>
        <w:t>国家医疗保障局关于做好基本医疗保险医用耗材支付管理有关工作的通知</w:t>
      </w:r>
      <w:r>
        <w:rPr>
          <w:rFonts w:hint="eastAsia" w:ascii="仿宋_GB2312" w:hAnsi="仿宋" w:eastAsia="仿宋_GB2312"/>
          <w:color w:val="auto"/>
          <w:sz w:val="32"/>
          <w:szCs w:val="32"/>
          <w:lang w:eastAsia="zh-CN"/>
        </w:rPr>
        <w:t>》（</w:t>
      </w:r>
      <w:r>
        <w:rPr>
          <w:rFonts w:hint="eastAsia" w:ascii="仿宋_GB2312" w:hAnsi="仿宋" w:eastAsia="仿宋_GB2312" w:cstheme="minorBidi"/>
          <w:b w:val="0"/>
          <w:bCs w:val="0"/>
          <w:color w:val="auto"/>
          <w:kern w:val="2"/>
          <w:sz w:val="32"/>
          <w:szCs w:val="32"/>
        </w:rPr>
        <w:t>医保发〔2023〕23号</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等精神，制定本办法。</w:t>
      </w:r>
    </w:p>
    <w:p w14:paraId="64233FA4">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_GB2312" w:hAnsi="仿宋" w:eastAsia="仿宋_GB2312"/>
          <w:color w:val="auto"/>
          <w:sz w:val="32"/>
          <w:szCs w:val="32"/>
          <w:lang w:val="en-US" w:eastAsia="zh-CN"/>
        </w:rPr>
      </w:pPr>
      <w:r>
        <w:rPr>
          <w:rFonts w:hint="eastAsia" w:ascii="仿宋_GB2312" w:hAnsi="仿宋" w:eastAsia="仿宋_GB2312"/>
          <w:color w:val="auto"/>
          <w:sz w:val="32"/>
          <w:szCs w:val="32"/>
        </w:rPr>
        <w:t>第二条</w:t>
      </w:r>
      <w:r>
        <w:rPr>
          <w:rFonts w:hint="eastAsia" w:ascii="仿宋_GB2312" w:hAnsi="仿宋" w:eastAsia="仿宋_GB2312"/>
          <w:color w:val="auto"/>
          <w:sz w:val="32"/>
          <w:szCs w:val="32"/>
          <w:lang w:val="en-US" w:eastAsia="zh-CN"/>
        </w:rPr>
        <w:t xml:space="preserve"> </w:t>
      </w:r>
      <w:r>
        <w:rPr>
          <w:rFonts w:hint="eastAsia" w:ascii="仿宋_GB2312" w:hAnsi="仿宋" w:eastAsia="仿宋_GB2312"/>
          <w:color w:val="auto"/>
          <w:sz w:val="32"/>
          <w:szCs w:val="32"/>
        </w:rPr>
        <w:t>本办法所指医用耗材，是指经药品监督管理部门批准</w:t>
      </w:r>
      <w:r>
        <w:rPr>
          <w:rFonts w:hint="eastAsia" w:ascii="仿宋_GB2312" w:hAnsi="仿宋" w:eastAsia="仿宋_GB2312"/>
          <w:color w:val="auto"/>
          <w:sz w:val="32"/>
          <w:szCs w:val="32"/>
          <w:lang w:eastAsia="zh-CN"/>
        </w:rPr>
        <w:t>注册或备案</w:t>
      </w:r>
      <w:r>
        <w:rPr>
          <w:rFonts w:hint="eastAsia" w:ascii="仿宋_GB2312" w:hAnsi="仿宋" w:eastAsia="仿宋_GB2312"/>
          <w:color w:val="auto"/>
          <w:sz w:val="32"/>
          <w:szCs w:val="32"/>
        </w:rPr>
        <w:t>，可以单独收费，且具有医疗保障医用耗材统一编码的医用耗材。</w:t>
      </w:r>
      <w:r>
        <w:rPr>
          <w:rFonts w:hint="eastAsia" w:ascii="仿宋_GB2312" w:hAnsi="仿宋" w:eastAsia="仿宋_GB2312"/>
          <w:color w:val="auto"/>
          <w:sz w:val="32"/>
          <w:szCs w:val="32"/>
          <w:lang w:val="en-US" w:eastAsia="zh-CN"/>
        </w:rPr>
        <w:t>医用耗材的医保准入、支付以及相应的管理监督等工作，适用本办法。</w:t>
      </w:r>
    </w:p>
    <w:p w14:paraId="6BFDBBEE">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第三条</w:t>
      </w:r>
      <w:r>
        <w:rPr>
          <w:rFonts w:hint="eastAsia" w:ascii="仿宋_GB2312" w:hAnsi="仿宋" w:eastAsia="仿宋_GB2312"/>
          <w:color w:val="auto"/>
          <w:sz w:val="32"/>
          <w:szCs w:val="32"/>
          <w:lang w:val="en-US" w:eastAsia="zh-CN"/>
        </w:rPr>
        <w:t xml:space="preserve"> </w:t>
      </w:r>
      <w:r>
        <w:rPr>
          <w:rFonts w:hint="eastAsia" w:ascii="仿宋_GB2312" w:hAnsi="仿宋" w:eastAsia="仿宋_GB2312"/>
          <w:color w:val="auto"/>
          <w:sz w:val="32"/>
          <w:szCs w:val="32"/>
        </w:rPr>
        <w:t>省</w:t>
      </w:r>
      <w:r>
        <w:rPr>
          <w:rFonts w:hint="eastAsia" w:ascii="仿宋_GB2312" w:hAnsi="仿宋" w:eastAsia="仿宋_GB2312"/>
          <w:color w:val="auto"/>
          <w:sz w:val="32"/>
          <w:szCs w:val="32"/>
          <w:lang w:eastAsia="zh-CN"/>
        </w:rPr>
        <w:t>级</w:t>
      </w:r>
      <w:r>
        <w:rPr>
          <w:rFonts w:hint="eastAsia" w:ascii="仿宋_GB2312" w:hAnsi="仿宋" w:eastAsia="仿宋_GB2312"/>
          <w:color w:val="auto"/>
          <w:sz w:val="32"/>
          <w:szCs w:val="32"/>
        </w:rPr>
        <w:t>医疗保障部门</w:t>
      </w:r>
      <w:r>
        <w:rPr>
          <w:rFonts w:hint="eastAsia" w:ascii="仿宋_GB2312" w:hAnsi="仿宋" w:eastAsia="仿宋_GB2312"/>
          <w:color w:val="auto"/>
          <w:sz w:val="32"/>
          <w:szCs w:val="32"/>
          <w:lang w:eastAsia="zh-CN"/>
        </w:rPr>
        <w:t>负责</w:t>
      </w:r>
      <w:r>
        <w:rPr>
          <w:rFonts w:hint="eastAsia" w:ascii="仿宋_GB2312" w:hAnsi="仿宋" w:eastAsia="仿宋_GB2312"/>
          <w:color w:val="auto"/>
          <w:sz w:val="32"/>
          <w:szCs w:val="32"/>
        </w:rPr>
        <w:t>《山东省基本医疗保险医用耗材目录》（以下简称《基本医保医用耗材目录》</w:t>
      </w:r>
      <w:r>
        <w:rPr>
          <w:rFonts w:hint="eastAsia" w:ascii="仿宋_GB2312" w:hAnsi="仿宋" w:eastAsia="仿宋_GB2312"/>
          <w:color w:val="auto"/>
          <w:sz w:val="32"/>
          <w:szCs w:val="32"/>
          <w:lang w:eastAsia="zh-CN"/>
        </w:rPr>
        <w:t>的制定、调整、发布及管理等工作，</w:t>
      </w:r>
      <w:r>
        <w:rPr>
          <w:rFonts w:hint="eastAsia" w:ascii="仿宋_GB2312" w:hAnsi="仿宋" w:eastAsia="仿宋_GB2312"/>
          <w:color w:val="auto"/>
          <w:sz w:val="32"/>
          <w:szCs w:val="32"/>
        </w:rPr>
        <w:t>《基本医保医用耗材目录》内医用耗材按规定纳入医保基金支付范围</w:t>
      </w:r>
      <w:r>
        <w:rPr>
          <w:rFonts w:hint="eastAsia" w:ascii="仿宋_GB2312" w:hAnsi="仿宋" w:eastAsia="仿宋_GB2312"/>
          <w:color w:val="auto"/>
          <w:sz w:val="32"/>
          <w:szCs w:val="32"/>
          <w:lang w:eastAsia="zh-CN"/>
        </w:rPr>
        <w:t>。各统筹区医疗保障部门负责落实相关政策措施，执行全省统一的</w:t>
      </w:r>
      <w:r>
        <w:rPr>
          <w:rFonts w:hint="eastAsia" w:ascii="仿宋_GB2312" w:hAnsi="仿宋" w:eastAsia="仿宋_GB2312"/>
          <w:color w:val="auto"/>
          <w:sz w:val="32"/>
          <w:szCs w:val="32"/>
        </w:rPr>
        <w:t>《基本医保医用耗材目录》</w:t>
      </w:r>
      <w:r>
        <w:rPr>
          <w:rFonts w:hint="eastAsia" w:ascii="仿宋_GB2312" w:hAnsi="仿宋" w:eastAsia="仿宋_GB2312"/>
          <w:color w:val="auto"/>
          <w:sz w:val="32"/>
          <w:szCs w:val="32"/>
          <w:lang w:eastAsia="zh-CN"/>
        </w:rPr>
        <w:t>，维护医用耗材医保目录库，加强医用耗材医保支付管理和监督。</w:t>
      </w:r>
      <w:r>
        <w:rPr>
          <w:rFonts w:hint="eastAsia" w:ascii="仿宋_GB2312" w:hAnsi="仿宋" w:eastAsia="仿宋_GB2312"/>
          <w:color w:val="auto"/>
          <w:sz w:val="32"/>
          <w:szCs w:val="32"/>
        </w:rPr>
        <w:t xml:space="preserve"> </w:t>
      </w:r>
    </w:p>
    <w:p w14:paraId="72DBBE1D">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第四条</w:t>
      </w:r>
      <w:r>
        <w:rPr>
          <w:rFonts w:hint="eastAsia" w:ascii="仿宋_GB2312" w:hAnsi="仿宋" w:eastAsia="仿宋_GB2312"/>
          <w:color w:val="auto"/>
          <w:sz w:val="32"/>
          <w:szCs w:val="32"/>
          <w:lang w:val="en-US" w:eastAsia="zh-CN"/>
        </w:rPr>
        <w:t xml:space="preserve"> </w:t>
      </w:r>
      <w:r>
        <w:rPr>
          <w:rFonts w:hint="eastAsia" w:ascii="仿宋_GB2312" w:hAnsi="仿宋" w:eastAsia="仿宋_GB2312"/>
          <w:color w:val="auto"/>
          <w:sz w:val="32"/>
          <w:szCs w:val="32"/>
        </w:rPr>
        <w:t>医用耗材的医保准入管理</w:t>
      </w:r>
      <w:r>
        <w:rPr>
          <w:rFonts w:hint="eastAsia" w:ascii="仿宋_GB2312" w:hAnsi="仿宋" w:eastAsia="仿宋_GB2312"/>
          <w:color w:val="auto"/>
          <w:sz w:val="32"/>
          <w:szCs w:val="32"/>
          <w:lang w:val="en-US" w:eastAsia="zh-CN"/>
        </w:rPr>
        <w:t>坚持</w:t>
      </w:r>
      <w:r>
        <w:rPr>
          <w:rFonts w:hint="eastAsia" w:ascii="仿宋_GB2312" w:hAnsi="仿宋" w:eastAsia="仿宋_GB2312"/>
          <w:color w:val="auto"/>
          <w:sz w:val="32"/>
          <w:szCs w:val="32"/>
        </w:rPr>
        <w:t>尽力而为、量力而行</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坚持保障基本、满足临床合理需求、科学规范、动态调整的原则</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按照基本医疗保险的功能定位</w:t>
      </w:r>
      <w:r>
        <w:rPr>
          <w:rFonts w:hint="eastAsia" w:ascii="仿宋_GB2312" w:hAnsi="仿宋" w:eastAsia="仿宋_GB2312"/>
          <w:color w:val="auto"/>
          <w:sz w:val="32"/>
          <w:szCs w:val="32"/>
          <w:lang w:eastAsia="zh-CN"/>
        </w:rPr>
        <w:t>，统筹</w:t>
      </w:r>
      <w:r>
        <w:rPr>
          <w:rFonts w:hint="eastAsia" w:ascii="仿宋_GB2312" w:hAnsi="仿宋" w:eastAsia="仿宋_GB2312"/>
          <w:color w:val="auto"/>
          <w:sz w:val="32"/>
          <w:szCs w:val="32"/>
        </w:rPr>
        <w:t>考虑医用耗材的功能作用、临床价值、</w:t>
      </w:r>
      <w:r>
        <w:rPr>
          <w:rFonts w:hint="eastAsia" w:ascii="仿宋_GB2312" w:hAnsi="仿宋" w:eastAsia="仿宋_GB2312"/>
          <w:color w:val="auto"/>
          <w:sz w:val="32"/>
          <w:szCs w:val="32"/>
          <w:lang w:eastAsia="zh-CN"/>
        </w:rPr>
        <w:t>安全性、与医疗服务价格项目对应关系、</w:t>
      </w:r>
      <w:r>
        <w:rPr>
          <w:rFonts w:hint="eastAsia" w:ascii="仿宋_GB2312" w:hAnsi="仿宋" w:eastAsia="仿宋_GB2312"/>
          <w:color w:val="auto"/>
          <w:sz w:val="32"/>
          <w:szCs w:val="32"/>
        </w:rPr>
        <w:t>费用水平</w:t>
      </w:r>
      <w:r>
        <w:rPr>
          <w:rFonts w:hint="eastAsia" w:ascii="仿宋_GB2312" w:hAnsi="仿宋" w:eastAsia="仿宋_GB2312"/>
          <w:color w:val="auto"/>
          <w:sz w:val="32"/>
          <w:szCs w:val="32"/>
          <w:lang w:eastAsia="zh-CN"/>
        </w:rPr>
        <w:t>及</w:t>
      </w:r>
      <w:r>
        <w:rPr>
          <w:rFonts w:hint="eastAsia" w:ascii="仿宋_GB2312" w:hAnsi="仿宋" w:eastAsia="仿宋_GB2312"/>
          <w:color w:val="auto"/>
          <w:sz w:val="32"/>
          <w:szCs w:val="32"/>
        </w:rPr>
        <w:t xml:space="preserve">医保基金承受能力等因素，合理确定《基本医保医用耗材目录》。 </w:t>
      </w:r>
    </w:p>
    <w:p w14:paraId="35394F3A">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rPr>
        <w:t>第五条 基本医保医用耗材采用国家医疗保障</w:t>
      </w:r>
      <w:r>
        <w:rPr>
          <w:rFonts w:hint="eastAsia" w:ascii="仿宋_GB2312" w:hAnsi="仿宋" w:eastAsia="仿宋_GB2312"/>
          <w:color w:val="auto"/>
          <w:sz w:val="32"/>
          <w:szCs w:val="32"/>
          <w:lang w:eastAsia="zh-CN"/>
        </w:rPr>
        <w:t>部门</w:t>
      </w:r>
      <w:r>
        <w:rPr>
          <w:rFonts w:hint="eastAsia" w:ascii="仿宋_GB2312" w:hAnsi="仿宋" w:eastAsia="仿宋_GB2312"/>
          <w:color w:val="auto"/>
          <w:sz w:val="32"/>
          <w:szCs w:val="32"/>
        </w:rPr>
        <w:t>确定的分类和编码，</w:t>
      </w:r>
      <w:r>
        <w:rPr>
          <w:rFonts w:hint="eastAsia" w:ascii="仿宋_GB2312" w:hAnsi="仿宋" w:eastAsia="仿宋_GB2312"/>
          <w:color w:val="auto"/>
          <w:sz w:val="32"/>
          <w:szCs w:val="32"/>
          <w:lang w:val="en-US" w:eastAsia="zh-CN"/>
        </w:rPr>
        <w:t>原则上</w:t>
      </w:r>
      <w:r>
        <w:rPr>
          <w:rFonts w:hint="eastAsia" w:ascii="仿宋_GB2312" w:hAnsi="仿宋" w:eastAsia="仿宋_GB2312"/>
          <w:color w:val="auto"/>
          <w:sz w:val="32"/>
          <w:szCs w:val="32"/>
        </w:rPr>
        <w:t>依托</w:t>
      </w:r>
      <w:r>
        <w:rPr>
          <w:rFonts w:hint="eastAsia" w:ascii="仿宋_GB2312" w:hAnsi="仿宋" w:eastAsia="仿宋_GB2312"/>
          <w:color w:val="auto"/>
          <w:sz w:val="32"/>
          <w:szCs w:val="32"/>
          <w:lang w:eastAsia="zh-CN"/>
        </w:rPr>
        <w:t>国家医保编码</w:t>
      </w:r>
      <w:r>
        <w:rPr>
          <w:rFonts w:hint="eastAsia" w:ascii="仿宋_GB2312" w:hAnsi="仿宋" w:eastAsia="仿宋_GB2312"/>
          <w:color w:val="auto"/>
          <w:sz w:val="32"/>
          <w:szCs w:val="32"/>
        </w:rPr>
        <w:t>三级分类及医保通用名进行</w:t>
      </w:r>
      <w:r>
        <w:rPr>
          <w:rFonts w:hint="eastAsia" w:ascii="仿宋_GB2312" w:hAnsi="仿宋" w:eastAsia="仿宋_GB2312"/>
          <w:color w:val="auto"/>
          <w:sz w:val="32"/>
          <w:szCs w:val="32"/>
          <w:lang w:eastAsia="zh-CN"/>
        </w:rPr>
        <w:t>医保</w:t>
      </w:r>
      <w:r>
        <w:rPr>
          <w:rFonts w:hint="eastAsia" w:ascii="仿宋_GB2312" w:hAnsi="仿宋" w:eastAsia="仿宋_GB2312"/>
          <w:color w:val="auto"/>
          <w:sz w:val="32"/>
          <w:szCs w:val="32"/>
        </w:rPr>
        <w:t>支付管理</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对特殊情形可细化到材质与特征分类，并按照国家要求逐步过渡，实行通用名管理</w:t>
      </w:r>
      <w:r>
        <w:rPr>
          <w:rFonts w:hint="eastAsia" w:ascii="仿宋_GB2312" w:hAnsi="仿宋" w:eastAsia="仿宋_GB2312"/>
          <w:color w:val="auto"/>
          <w:sz w:val="32"/>
          <w:szCs w:val="32"/>
        </w:rPr>
        <w:t>。</w:t>
      </w:r>
    </w:p>
    <w:p w14:paraId="3B1EE9D4">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第六条 《基本医保医用耗材目录》</w:t>
      </w:r>
      <w:r>
        <w:rPr>
          <w:rFonts w:hint="eastAsia" w:ascii="仿宋_GB2312" w:hAnsi="仿宋" w:eastAsia="仿宋_GB2312"/>
          <w:color w:val="auto"/>
          <w:sz w:val="32"/>
          <w:szCs w:val="32"/>
          <w:lang w:eastAsia="zh-CN"/>
        </w:rPr>
        <w:t>结构</w:t>
      </w:r>
      <w:r>
        <w:rPr>
          <w:rFonts w:hint="eastAsia" w:ascii="仿宋_GB2312" w:hAnsi="仿宋" w:eastAsia="仿宋_GB2312"/>
          <w:color w:val="auto"/>
          <w:sz w:val="32"/>
          <w:szCs w:val="32"/>
        </w:rPr>
        <w:t>主要包括</w:t>
      </w:r>
      <w:r>
        <w:rPr>
          <w:rFonts w:hint="eastAsia" w:ascii="仿宋_GB2312" w:hAnsi="仿宋" w:eastAsia="仿宋_GB2312"/>
          <w:color w:val="auto"/>
          <w:sz w:val="32"/>
          <w:szCs w:val="32"/>
          <w:lang w:eastAsia="zh-CN"/>
        </w:rPr>
        <w:t>凡例和目录两部分。凡例是对《</w:t>
      </w:r>
      <w:r>
        <w:rPr>
          <w:rFonts w:hint="eastAsia" w:ascii="仿宋_GB2312" w:hAnsi="仿宋" w:eastAsia="仿宋_GB2312"/>
          <w:color w:val="auto"/>
          <w:sz w:val="32"/>
          <w:szCs w:val="32"/>
        </w:rPr>
        <w:t>基本医保医用耗材目录</w:t>
      </w:r>
      <w:r>
        <w:rPr>
          <w:rFonts w:hint="eastAsia" w:ascii="仿宋_GB2312" w:hAnsi="仿宋" w:eastAsia="仿宋_GB2312"/>
          <w:color w:val="auto"/>
          <w:sz w:val="32"/>
          <w:szCs w:val="32"/>
          <w:lang w:eastAsia="zh-CN"/>
        </w:rPr>
        <w:t>》的编排格式、名称和编码规范、支付范围等的解释说明；目录包括</w:t>
      </w:r>
      <w:r>
        <w:rPr>
          <w:rFonts w:hint="eastAsia" w:ascii="仿宋_GB2312" w:hAnsi="仿宋" w:eastAsia="仿宋_GB2312"/>
          <w:color w:val="auto"/>
          <w:sz w:val="32"/>
          <w:szCs w:val="32"/>
        </w:rPr>
        <w:t>编号、</w:t>
      </w:r>
      <w:r>
        <w:rPr>
          <w:rFonts w:hint="eastAsia" w:ascii="仿宋_GB2312" w:hAnsi="仿宋" w:eastAsia="仿宋_GB2312"/>
          <w:color w:val="auto"/>
          <w:sz w:val="32"/>
          <w:szCs w:val="32"/>
          <w:lang w:eastAsia="zh-CN"/>
        </w:rPr>
        <w:t>医用耗材名称、</w:t>
      </w:r>
      <w:r>
        <w:rPr>
          <w:rFonts w:hint="eastAsia" w:ascii="仿宋_GB2312" w:hAnsi="仿宋" w:eastAsia="仿宋_GB2312"/>
          <w:color w:val="auto"/>
          <w:sz w:val="32"/>
          <w:szCs w:val="32"/>
        </w:rPr>
        <w:t>分类编码、备注等。</w:t>
      </w:r>
    </w:p>
    <w:p w14:paraId="103DFB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b w:val="0"/>
          <w:bCs/>
          <w:color w:val="auto"/>
          <w:sz w:val="32"/>
          <w:szCs w:val="32"/>
        </w:rPr>
      </w:pPr>
    </w:p>
    <w:p w14:paraId="449E9B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b w:val="0"/>
          <w:bCs/>
          <w:color w:val="auto"/>
          <w:sz w:val="32"/>
          <w:szCs w:val="32"/>
          <w:lang w:eastAsia="zh-CN"/>
        </w:rPr>
      </w:pPr>
      <w:r>
        <w:rPr>
          <w:rFonts w:hint="eastAsia" w:ascii="黑体" w:hAnsi="黑体" w:eastAsia="黑体"/>
          <w:b w:val="0"/>
          <w:bCs/>
          <w:color w:val="auto"/>
          <w:sz w:val="32"/>
          <w:szCs w:val="32"/>
        </w:rPr>
        <w:t>第二章</w:t>
      </w:r>
      <w:r>
        <w:rPr>
          <w:rFonts w:hint="eastAsia" w:ascii="黑体" w:hAnsi="黑体" w:eastAsia="黑体"/>
          <w:b w:val="0"/>
          <w:bCs/>
          <w:color w:val="auto"/>
          <w:sz w:val="32"/>
          <w:szCs w:val="32"/>
          <w:lang w:val="en-US" w:eastAsia="zh-CN"/>
        </w:rPr>
        <w:t xml:space="preserve">  </w:t>
      </w:r>
      <w:r>
        <w:rPr>
          <w:rFonts w:hint="eastAsia" w:ascii="黑体" w:hAnsi="黑体" w:eastAsia="黑体"/>
          <w:b w:val="0"/>
          <w:bCs/>
          <w:color w:val="auto"/>
          <w:sz w:val="32"/>
          <w:szCs w:val="32"/>
        </w:rPr>
        <w:t>目录的</w:t>
      </w:r>
      <w:r>
        <w:rPr>
          <w:rFonts w:hint="eastAsia" w:ascii="黑体" w:hAnsi="黑体" w:eastAsia="黑体"/>
          <w:b w:val="0"/>
          <w:bCs/>
          <w:color w:val="auto"/>
          <w:sz w:val="32"/>
          <w:szCs w:val="32"/>
          <w:lang w:eastAsia="zh-CN"/>
        </w:rPr>
        <w:t>制定和调整</w:t>
      </w:r>
    </w:p>
    <w:p w14:paraId="5467592D">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第七条 省</w:t>
      </w:r>
      <w:r>
        <w:rPr>
          <w:rFonts w:hint="eastAsia" w:ascii="仿宋_GB2312" w:hAnsi="仿宋" w:eastAsia="仿宋_GB2312"/>
          <w:color w:val="auto"/>
          <w:sz w:val="32"/>
          <w:szCs w:val="32"/>
          <w:lang w:eastAsia="zh-CN"/>
        </w:rPr>
        <w:t>级</w:t>
      </w:r>
      <w:r>
        <w:rPr>
          <w:rFonts w:hint="eastAsia" w:ascii="仿宋_GB2312" w:hAnsi="仿宋" w:eastAsia="仿宋_GB2312"/>
          <w:color w:val="auto"/>
          <w:sz w:val="32"/>
          <w:szCs w:val="32"/>
        </w:rPr>
        <w:t>医疗保障部门组织专家，根据医用耗材的功能作用、使用范围，</w:t>
      </w:r>
      <w:r>
        <w:rPr>
          <w:rFonts w:hint="eastAsia" w:ascii="仿宋_GB2312" w:hAnsi="仿宋" w:eastAsia="仿宋_GB2312"/>
          <w:color w:val="auto"/>
          <w:sz w:val="32"/>
          <w:szCs w:val="32"/>
          <w:lang w:eastAsia="zh-CN"/>
        </w:rPr>
        <w:t>综合考虑相关因素，</w:t>
      </w:r>
      <w:r>
        <w:rPr>
          <w:rFonts w:hint="eastAsia" w:ascii="仿宋_GB2312" w:hAnsi="仿宋" w:eastAsia="仿宋_GB2312"/>
          <w:color w:val="auto"/>
          <w:sz w:val="32"/>
          <w:szCs w:val="32"/>
        </w:rPr>
        <w:t>评审确定</w:t>
      </w:r>
      <w:r>
        <w:rPr>
          <w:rFonts w:hint="eastAsia" w:ascii="仿宋_GB2312" w:hAnsi="仿宋" w:eastAsia="仿宋_GB2312"/>
          <w:color w:val="auto"/>
          <w:sz w:val="32"/>
          <w:szCs w:val="32"/>
          <w:lang w:eastAsia="zh-CN"/>
        </w:rPr>
        <w:t>纳入</w:t>
      </w:r>
      <w:r>
        <w:rPr>
          <w:rFonts w:hint="eastAsia" w:ascii="仿宋_GB2312" w:hAnsi="仿宋" w:eastAsia="仿宋_GB2312"/>
          <w:color w:val="auto"/>
          <w:sz w:val="32"/>
          <w:szCs w:val="32"/>
        </w:rPr>
        <w:t>基本医疗保险支付的医用耗材范围，形成《基本医保医用耗材目录》。</w:t>
      </w:r>
    </w:p>
    <w:p w14:paraId="376E0CA4">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第八条</w:t>
      </w:r>
      <w:r>
        <w:rPr>
          <w:rFonts w:hint="eastAsia" w:ascii="仿宋_GB2312" w:hAnsi="仿宋" w:eastAsia="仿宋_GB2312"/>
          <w:color w:val="auto"/>
          <w:sz w:val="32"/>
          <w:szCs w:val="32"/>
          <w:lang w:val="en-US" w:eastAsia="zh-CN"/>
        </w:rPr>
        <w:t xml:space="preserve"> </w:t>
      </w:r>
      <w:r>
        <w:rPr>
          <w:rFonts w:hint="eastAsia" w:ascii="仿宋_GB2312" w:hAnsi="仿宋" w:eastAsia="仿宋_GB2312"/>
          <w:color w:val="auto"/>
          <w:sz w:val="32"/>
          <w:szCs w:val="32"/>
        </w:rPr>
        <w:t>《基本医保医用耗材目录》</w:t>
      </w:r>
      <w:r>
        <w:rPr>
          <w:rFonts w:hint="eastAsia" w:ascii="仿宋_GB2312" w:hAnsi="仿宋" w:eastAsia="仿宋_GB2312"/>
          <w:color w:val="auto"/>
          <w:sz w:val="32"/>
          <w:szCs w:val="32"/>
          <w:lang w:eastAsia="zh-CN"/>
        </w:rPr>
        <w:t>实行</w:t>
      </w:r>
      <w:r>
        <w:rPr>
          <w:rFonts w:hint="eastAsia" w:ascii="仿宋_GB2312" w:hAnsi="仿宋" w:eastAsia="仿宋_GB2312"/>
          <w:color w:val="auto"/>
          <w:sz w:val="32"/>
          <w:szCs w:val="32"/>
        </w:rPr>
        <w:t>动态</w:t>
      </w:r>
      <w:r>
        <w:rPr>
          <w:rFonts w:hint="eastAsia" w:ascii="仿宋_GB2312" w:hAnsi="仿宋" w:eastAsia="仿宋_GB2312"/>
          <w:color w:val="auto"/>
          <w:sz w:val="32"/>
          <w:szCs w:val="32"/>
          <w:lang w:eastAsia="zh-CN"/>
        </w:rPr>
        <w:t>管理，根据实际需求进行定期</w:t>
      </w:r>
      <w:r>
        <w:rPr>
          <w:rFonts w:hint="eastAsia" w:ascii="仿宋_GB2312" w:hAnsi="仿宋" w:eastAsia="仿宋_GB2312"/>
          <w:color w:val="0D0D0D" w:themeColor="text1" w:themeTint="F2"/>
          <w:sz w:val="32"/>
          <w:szCs w:val="32"/>
          <w:lang w:val="en-US" w:eastAsia="zh-CN"/>
          <w14:textFill>
            <w14:solidFill>
              <w14:schemeClr w14:val="tx1">
                <w14:lumMod w14:val="95000"/>
                <w14:lumOff w14:val="5000"/>
              </w14:schemeClr>
            </w14:solidFill>
          </w14:textFill>
        </w:rPr>
        <w:t>调整</w:t>
      </w: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主要程序包括定点医疗机构申报、设区市医疗保障部门初审、省级医疗保障部门组织专家评审、报国家医疗保障行政部门备案、发布等。</w:t>
      </w:r>
    </w:p>
    <w:p w14:paraId="778BFEF0">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rPr>
        <w:t>第九条</w:t>
      </w:r>
      <w:r>
        <w:rPr>
          <w:rFonts w:hint="eastAsia" w:ascii="仿宋_GB2312" w:hAnsi="仿宋" w:eastAsia="仿宋_GB2312"/>
          <w:color w:val="auto"/>
          <w:sz w:val="32"/>
          <w:szCs w:val="32"/>
          <w:lang w:val="en-US" w:eastAsia="zh-CN"/>
        </w:rPr>
        <w:t xml:space="preserve"> </w:t>
      </w:r>
      <w:r>
        <w:rPr>
          <w:rFonts w:hint="eastAsia" w:ascii="仿宋_GB2312" w:hAnsi="仿宋" w:eastAsia="仿宋_GB2312"/>
          <w:color w:val="auto"/>
          <w:sz w:val="32"/>
          <w:szCs w:val="32"/>
        </w:rPr>
        <w:t>纳入</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基本医疗保险医用耗材目录</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，应当</w:t>
      </w:r>
      <w:r>
        <w:rPr>
          <w:rFonts w:hint="eastAsia" w:ascii="仿宋_GB2312" w:hAnsi="仿宋" w:eastAsia="仿宋_GB2312"/>
          <w:color w:val="auto"/>
          <w:sz w:val="32"/>
          <w:szCs w:val="32"/>
          <w:lang w:eastAsia="zh-CN"/>
        </w:rPr>
        <w:t>具备以下条件：</w:t>
      </w:r>
    </w:p>
    <w:p w14:paraId="1C9643DE">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lang w:eastAsia="zh-CN"/>
        </w:rPr>
        <w:t>（一）具有</w:t>
      </w:r>
      <w:r>
        <w:rPr>
          <w:rFonts w:hint="eastAsia" w:ascii="仿宋_GB2312" w:hAnsi="仿宋" w:eastAsia="仿宋_GB2312"/>
          <w:color w:val="auto"/>
          <w:sz w:val="32"/>
          <w:szCs w:val="32"/>
        </w:rPr>
        <w:t>药品监督管理部门</w:t>
      </w:r>
      <w:r>
        <w:rPr>
          <w:rFonts w:hint="eastAsia" w:ascii="仿宋_GB2312" w:hAnsi="仿宋" w:eastAsia="仿宋_GB2312"/>
          <w:color w:val="auto"/>
          <w:sz w:val="32"/>
          <w:szCs w:val="32"/>
          <w:lang w:eastAsia="zh-CN"/>
        </w:rPr>
        <w:t>核发的注册批件或按规定</w:t>
      </w:r>
      <w:r>
        <w:rPr>
          <w:rFonts w:hint="eastAsia" w:ascii="仿宋_GB2312" w:hAnsi="仿宋" w:eastAsia="仿宋_GB2312"/>
          <w:color w:val="auto"/>
          <w:sz w:val="32"/>
          <w:szCs w:val="32"/>
        </w:rPr>
        <w:t>在药品监督管理部门备案</w:t>
      </w:r>
      <w:r>
        <w:rPr>
          <w:rFonts w:hint="eastAsia" w:ascii="仿宋_GB2312" w:hAnsi="仿宋" w:eastAsia="仿宋_GB2312"/>
          <w:color w:val="auto"/>
          <w:sz w:val="32"/>
          <w:szCs w:val="32"/>
          <w:lang w:eastAsia="zh-CN"/>
        </w:rPr>
        <w:t>，且在有效期内；</w:t>
      </w:r>
    </w:p>
    <w:p w14:paraId="519620DA">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lang w:eastAsia="zh-CN"/>
        </w:rPr>
        <w:t>（二）未被纳入医疗服务项目价格构成</w:t>
      </w:r>
      <w:r>
        <w:rPr>
          <w:rFonts w:hint="eastAsia" w:ascii="仿宋_GB2312" w:hAnsi="仿宋" w:eastAsia="仿宋_GB2312"/>
          <w:color w:val="auto"/>
          <w:sz w:val="32"/>
          <w:szCs w:val="32"/>
        </w:rPr>
        <w:t>，可以单独收费</w:t>
      </w:r>
      <w:r>
        <w:rPr>
          <w:rFonts w:hint="eastAsia" w:ascii="仿宋_GB2312" w:hAnsi="仿宋" w:eastAsia="仿宋_GB2312"/>
          <w:color w:val="auto"/>
          <w:sz w:val="32"/>
          <w:szCs w:val="32"/>
          <w:lang w:eastAsia="zh-CN"/>
        </w:rPr>
        <w:t>的一次性医用耗材；</w:t>
      </w:r>
    </w:p>
    <w:p w14:paraId="302FF996">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lang w:eastAsia="zh-CN"/>
        </w:rPr>
        <w:t>（三）</w:t>
      </w:r>
      <w:r>
        <w:rPr>
          <w:rFonts w:hint="eastAsia" w:ascii="仿宋_GB2312" w:hAnsi="仿宋" w:eastAsia="仿宋_GB2312"/>
          <w:color w:val="auto"/>
          <w:sz w:val="32"/>
          <w:szCs w:val="32"/>
        </w:rPr>
        <w:t>临床必需、安全有效、价格</w:t>
      </w:r>
      <w:r>
        <w:rPr>
          <w:rFonts w:hint="eastAsia" w:ascii="仿宋_GB2312" w:hAnsi="仿宋" w:eastAsia="仿宋_GB2312"/>
          <w:color w:val="auto"/>
          <w:sz w:val="32"/>
          <w:szCs w:val="32"/>
          <w:lang w:eastAsia="zh-CN"/>
        </w:rPr>
        <w:t>合理、</w:t>
      </w:r>
      <w:r>
        <w:rPr>
          <w:rFonts w:hint="eastAsia" w:ascii="仿宋_GB2312" w:hAnsi="仿宋" w:eastAsia="仿宋_GB2312"/>
          <w:color w:val="auto"/>
          <w:sz w:val="32"/>
          <w:szCs w:val="32"/>
        </w:rPr>
        <w:t>医保基金可承受</w:t>
      </w:r>
      <w:r>
        <w:rPr>
          <w:rFonts w:hint="eastAsia" w:ascii="仿宋_GB2312" w:hAnsi="仿宋" w:eastAsia="仿宋_GB2312"/>
          <w:color w:val="auto"/>
          <w:sz w:val="32"/>
          <w:szCs w:val="32"/>
          <w:lang w:eastAsia="zh-CN"/>
        </w:rPr>
        <w:t>；</w:t>
      </w:r>
    </w:p>
    <w:p w14:paraId="500E3775">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lang w:eastAsia="zh-CN"/>
        </w:rPr>
        <w:t>（四）取得</w:t>
      </w:r>
      <w:r>
        <w:rPr>
          <w:rFonts w:hint="eastAsia" w:ascii="仿宋_GB2312" w:hAnsi="仿宋" w:eastAsia="仿宋_GB2312"/>
          <w:color w:val="auto"/>
          <w:sz w:val="32"/>
          <w:szCs w:val="32"/>
        </w:rPr>
        <w:t>国家</w:t>
      </w:r>
      <w:r>
        <w:rPr>
          <w:rFonts w:hint="eastAsia" w:ascii="仿宋_GB2312" w:hAnsi="仿宋" w:eastAsia="仿宋_GB2312"/>
          <w:color w:val="auto"/>
          <w:sz w:val="32"/>
          <w:szCs w:val="32"/>
          <w:lang w:eastAsia="zh-CN"/>
        </w:rPr>
        <w:t>医疗保障</w:t>
      </w:r>
      <w:r>
        <w:rPr>
          <w:rFonts w:hint="eastAsia" w:ascii="仿宋_GB2312" w:hAnsi="仿宋" w:eastAsia="仿宋_GB2312"/>
          <w:color w:val="auto"/>
          <w:sz w:val="32"/>
          <w:szCs w:val="32"/>
        </w:rPr>
        <w:t>医用耗材</w:t>
      </w:r>
      <w:r>
        <w:rPr>
          <w:rFonts w:hint="eastAsia" w:ascii="仿宋_GB2312" w:hAnsi="仿宋" w:eastAsia="仿宋_GB2312"/>
          <w:color w:val="auto"/>
          <w:sz w:val="32"/>
          <w:szCs w:val="32"/>
          <w:lang w:eastAsia="zh-CN"/>
        </w:rPr>
        <w:t>统一代</w:t>
      </w:r>
      <w:r>
        <w:rPr>
          <w:rFonts w:hint="eastAsia" w:ascii="仿宋_GB2312" w:hAnsi="仿宋" w:eastAsia="仿宋_GB2312"/>
          <w:color w:val="auto"/>
          <w:sz w:val="32"/>
          <w:szCs w:val="32"/>
        </w:rPr>
        <w:t>码</w:t>
      </w:r>
      <w:r>
        <w:rPr>
          <w:rFonts w:hint="eastAsia" w:ascii="仿宋_GB2312" w:hAnsi="仿宋" w:eastAsia="仿宋_GB2312"/>
          <w:color w:val="auto"/>
          <w:sz w:val="32"/>
          <w:szCs w:val="32"/>
          <w:lang w:eastAsia="zh-CN"/>
        </w:rPr>
        <w:t>。</w:t>
      </w:r>
    </w:p>
    <w:p w14:paraId="0A85F74A">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rPr>
        <w:t>第十条</w:t>
      </w:r>
      <w:r>
        <w:rPr>
          <w:rFonts w:hint="eastAsia" w:ascii="仿宋_GB2312" w:hAnsi="仿宋" w:eastAsia="仿宋_GB2312"/>
          <w:color w:val="auto"/>
          <w:sz w:val="32"/>
          <w:szCs w:val="32"/>
          <w:lang w:val="en-US" w:eastAsia="zh-CN"/>
        </w:rPr>
        <w:t xml:space="preserve"> </w:t>
      </w:r>
      <w:r>
        <w:rPr>
          <w:rFonts w:hint="eastAsia" w:ascii="仿宋_GB2312" w:hAnsi="仿宋" w:eastAsia="仿宋_GB2312"/>
          <w:color w:val="auto"/>
          <w:sz w:val="32"/>
          <w:szCs w:val="32"/>
          <w:lang w:eastAsia="zh-CN"/>
        </w:rPr>
        <w:t>有下列情形之一的不纳入《</w:t>
      </w:r>
      <w:r>
        <w:rPr>
          <w:rFonts w:hint="eastAsia" w:ascii="仿宋_GB2312" w:hAnsi="仿宋" w:eastAsia="仿宋_GB2312"/>
          <w:color w:val="auto"/>
          <w:sz w:val="32"/>
          <w:szCs w:val="32"/>
        </w:rPr>
        <w:t>基本医疗保险医用耗材目录</w:t>
      </w:r>
      <w:r>
        <w:rPr>
          <w:rFonts w:hint="eastAsia" w:ascii="仿宋_GB2312" w:hAnsi="仿宋" w:eastAsia="仿宋_GB2312"/>
          <w:color w:val="auto"/>
          <w:sz w:val="32"/>
          <w:szCs w:val="32"/>
          <w:lang w:eastAsia="zh-CN"/>
        </w:rPr>
        <w:t>》。</w:t>
      </w:r>
    </w:p>
    <w:p w14:paraId="05429152">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lang w:eastAsia="zh-CN"/>
        </w:rPr>
        <w:t>（一）</w:t>
      </w:r>
      <w:r>
        <w:rPr>
          <w:rFonts w:hint="eastAsia" w:ascii="仿宋_GB2312" w:hAnsi="仿宋" w:eastAsia="仿宋_GB2312"/>
          <w:color w:val="auto"/>
          <w:sz w:val="32"/>
          <w:szCs w:val="32"/>
        </w:rPr>
        <w:t>无法单独收费的；</w:t>
      </w:r>
    </w:p>
    <w:p w14:paraId="749DD019">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eastAsia="zh-CN"/>
        </w:rPr>
        <w:t>（二）</w:t>
      </w:r>
      <w:r>
        <w:rPr>
          <w:rFonts w:hint="eastAsia" w:ascii="仿宋_GB2312" w:hAnsi="仿宋" w:eastAsia="仿宋_GB2312"/>
          <w:color w:val="auto"/>
          <w:sz w:val="32"/>
          <w:szCs w:val="32"/>
        </w:rPr>
        <w:t>义齿、义眼、义肢、助听器等非治疗性康复器具；</w:t>
      </w:r>
    </w:p>
    <w:p w14:paraId="007D46A0">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lang w:eastAsia="zh-CN"/>
        </w:rPr>
        <w:t>（三）</w:t>
      </w:r>
      <w:r>
        <w:rPr>
          <w:rFonts w:hint="eastAsia" w:ascii="仿宋_GB2312" w:hAnsi="仿宋" w:eastAsia="仿宋_GB2312"/>
          <w:color w:val="auto"/>
          <w:sz w:val="32"/>
          <w:szCs w:val="32"/>
        </w:rPr>
        <w:t>各种保健、按摩、美容、健美以及非功能性整容、矫形相关医用耗材</w:t>
      </w:r>
      <w:r>
        <w:rPr>
          <w:rFonts w:hint="eastAsia" w:ascii="仿宋_GB2312" w:hAnsi="仿宋" w:eastAsia="仿宋_GB2312"/>
          <w:color w:val="auto"/>
          <w:sz w:val="32"/>
          <w:szCs w:val="32"/>
          <w:lang w:eastAsia="zh-CN"/>
        </w:rPr>
        <w:t>；</w:t>
      </w:r>
    </w:p>
    <w:p w14:paraId="418F4A35">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lang w:eastAsia="zh-CN"/>
        </w:rPr>
        <w:t>（四）</w:t>
      </w:r>
      <w:r>
        <w:rPr>
          <w:rFonts w:hint="eastAsia" w:ascii="仿宋_GB2312" w:hAnsi="仿宋" w:eastAsia="仿宋_GB2312"/>
          <w:color w:val="auto"/>
          <w:sz w:val="32"/>
          <w:szCs w:val="32"/>
        </w:rPr>
        <w:t>计划生育、公共卫生等方面专用</w:t>
      </w:r>
      <w:r>
        <w:rPr>
          <w:rFonts w:hint="eastAsia" w:ascii="仿宋_GB2312" w:hAnsi="仿宋" w:eastAsia="仿宋_GB2312"/>
          <w:color w:val="auto"/>
          <w:sz w:val="32"/>
          <w:szCs w:val="32"/>
          <w:lang w:eastAsia="zh-CN"/>
        </w:rPr>
        <w:t>医用耗材</w:t>
      </w:r>
      <w:r>
        <w:rPr>
          <w:rFonts w:hint="eastAsia" w:ascii="仿宋_GB2312" w:hAnsi="仿宋" w:eastAsia="仿宋_GB2312"/>
          <w:color w:val="auto"/>
          <w:sz w:val="32"/>
          <w:szCs w:val="32"/>
        </w:rPr>
        <w:t>（国家另有规定的除外）；</w:t>
      </w:r>
    </w:p>
    <w:p w14:paraId="21B3B297">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lang w:eastAsia="zh-CN"/>
        </w:rPr>
        <w:t>（五）</w:t>
      </w:r>
      <w:r>
        <w:rPr>
          <w:rFonts w:hint="eastAsia" w:ascii="仿宋_GB2312" w:hAnsi="仿宋" w:eastAsia="仿宋_GB2312"/>
          <w:color w:val="auto"/>
          <w:sz w:val="32"/>
          <w:szCs w:val="32"/>
        </w:rPr>
        <w:t>临床价值不高、价格或费用超基金承受能力的；</w:t>
      </w:r>
    </w:p>
    <w:p w14:paraId="10FD181D">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lang w:eastAsia="zh-CN"/>
        </w:rPr>
        <w:t>（六）</w:t>
      </w:r>
      <w:r>
        <w:rPr>
          <w:rFonts w:hint="eastAsia" w:ascii="仿宋_GB2312" w:hAnsi="仿宋" w:eastAsia="仿宋_GB2312"/>
          <w:color w:val="auto"/>
          <w:sz w:val="32"/>
          <w:szCs w:val="32"/>
        </w:rPr>
        <w:t>其他不符合基本医疗保险保障范围规定的。</w:t>
      </w:r>
    </w:p>
    <w:p w14:paraId="333A986A">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第十一条 符合以下情形之一的医用耗材，经专家评审后调出基本</w:t>
      </w:r>
      <w:r>
        <w:rPr>
          <w:rFonts w:hint="eastAsia" w:ascii="仿宋_GB2312" w:hAnsi="仿宋" w:eastAsia="仿宋_GB2312"/>
          <w:color w:val="auto"/>
          <w:sz w:val="32"/>
          <w:szCs w:val="32"/>
          <w:lang w:eastAsia="zh-CN"/>
        </w:rPr>
        <w:t>医疗保险</w:t>
      </w:r>
      <w:r>
        <w:rPr>
          <w:rFonts w:hint="eastAsia" w:ascii="仿宋_GB2312" w:hAnsi="仿宋" w:eastAsia="仿宋_GB2312"/>
          <w:color w:val="auto"/>
          <w:sz w:val="32"/>
          <w:szCs w:val="32"/>
        </w:rPr>
        <w:t>支付范围。</w:t>
      </w:r>
    </w:p>
    <w:p w14:paraId="6BF61130">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lang w:eastAsia="zh-CN"/>
        </w:rPr>
        <w:t>（一）</w:t>
      </w:r>
      <w:r>
        <w:rPr>
          <w:rFonts w:hint="eastAsia" w:ascii="仿宋_GB2312" w:hAnsi="仿宋" w:eastAsia="仿宋_GB2312"/>
          <w:color w:val="auto"/>
          <w:sz w:val="32"/>
          <w:szCs w:val="32"/>
        </w:rPr>
        <w:t>被药品监督管理部门取消注册或备案资格的；</w:t>
      </w:r>
    </w:p>
    <w:p w14:paraId="7B0A724B">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lang w:val="en-US" w:eastAsia="zh-CN"/>
        </w:rPr>
        <w:t>（二）</w:t>
      </w:r>
      <w:r>
        <w:rPr>
          <w:rFonts w:hint="eastAsia" w:ascii="仿宋_GB2312" w:hAnsi="仿宋" w:eastAsia="仿宋_GB2312"/>
          <w:color w:val="auto"/>
          <w:sz w:val="32"/>
          <w:szCs w:val="32"/>
        </w:rPr>
        <w:t>综合考虑安全性、临床价值、经济性等因素，经评估风险大于收益的；</w:t>
      </w:r>
    </w:p>
    <w:p w14:paraId="36E56502">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lang w:eastAsia="zh-CN"/>
        </w:rPr>
        <w:t>（三）</w:t>
      </w:r>
      <w:r>
        <w:rPr>
          <w:rFonts w:hint="eastAsia" w:ascii="仿宋_GB2312" w:hAnsi="仿宋" w:eastAsia="仿宋_GB2312"/>
          <w:color w:val="auto"/>
          <w:sz w:val="32"/>
          <w:szCs w:val="32"/>
        </w:rPr>
        <w:t>被有关部门列入负面清单的；</w:t>
      </w:r>
    </w:p>
    <w:p w14:paraId="58335926">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lang w:eastAsia="zh-CN"/>
        </w:rPr>
        <w:t>（四）</w:t>
      </w:r>
      <w:r>
        <w:rPr>
          <w:rFonts w:hint="eastAsia" w:ascii="仿宋_GB2312" w:hAnsi="仿宋" w:eastAsia="仿宋_GB2312"/>
          <w:color w:val="auto"/>
          <w:sz w:val="32"/>
          <w:szCs w:val="32"/>
        </w:rPr>
        <w:t>通过弄虚作假等违规手段进入目录的；</w:t>
      </w:r>
    </w:p>
    <w:p w14:paraId="5F1E8F5F">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eastAsia="zh-CN"/>
        </w:rPr>
        <w:t>（五）</w:t>
      </w:r>
      <w:r>
        <w:rPr>
          <w:rFonts w:hint="eastAsia" w:ascii="仿宋_GB2312" w:hAnsi="仿宋" w:eastAsia="仿宋_GB2312"/>
          <w:color w:val="auto"/>
          <w:sz w:val="32"/>
          <w:szCs w:val="32"/>
        </w:rPr>
        <w:t>符合相关规定</w:t>
      </w:r>
      <w:r>
        <w:rPr>
          <w:rFonts w:hint="eastAsia" w:ascii="仿宋_GB2312" w:hAnsi="仿宋" w:eastAsia="仿宋_GB2312" w:cstheme="minorBidi"/>
          <w:color w:val="auto"/>
          <w:kern w:val="2"/>
          <w:sz w:val="32"/>
          <w:szCs w:val="32"/>
        </w:rPr>
        <w:t>需要调出的其他情形</w:t>
      </w:r>
      <w:r>
        <w:rPr>
          <w:rFonts w:hint="eastAsia" w:ascii="仿宋_GB2312" w:hAnsi="仿宋" w:eastAsia="仿宋_GB2312" w:cstheme="minorBidi"/>
          <w:color w:val="auto"/>
          <w:kern w:val="2"/>
          <w:sz w:val="32"/>
          <w:szCs w:val="32"/>
          <w:lang w:eastAsia="zh-CN"/>
        </w:rPr>
        <w:t>。</w:t>
      </w:r>
      <w:r>
        <w:rPr>
          <w:rFonts w:hint="eastAsia" w:ascii="仿宋_GB2312" w:hAnsi="仿宋" w:eastAsia="仿宋_GB2312"/>
          <w:color w:val="auto"/>
          <w:sz w:val="32"/>
          <w:szCs w:val="32"/>
        </w:rPr>
        <w:t xml:space="preserve"> </w:t>
      </w:r>
    </w:p>
    <w:p w14:paraId="24FDC28C">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rPr>
        <w:t>对于已纳入</w:t>
      </w:r>
      <w:r>
        <w:rPr>
          <w:rFonts w:hint="eastAsia" w:ascii="仿宋_GB2312" w:hAnsi="仿宋" w:eastAsia="仿宋_GB2312"/>
          <w:color w:val="auto"/>
          <w:sz w:val="32"/>
          <w:szCs w:val="32"/>
          <w:lang w:eastAsia="zh-CN"/>
        </w:rPr>
        <w:t>医保</w:t>
      </w:r>
      <w:r>
        <w:rPr>
          <w:rFonts w:hint="eastAsia" w:ascii="仿宋_GB2312" w:hAnsi="仿宋" w:eastAsia="仿宋_GB2312"/>
          <w:color w:val="auto"/>
          <w:sz w:val="32"/>
          <w:szCs w:val="32"/>
        </w:rPr>
        <w:t>基金支付范围的</w:t>
      </w:r>
      <w:r>
        <w:rPr>
          <w:rFonts w:hint="eastAsia" w:ascii="仿宋_GB2312" w:hAnsi="仿宋" w:eastAsia="仿宋_GB2312"/>
          <w:color w:val="auto"/>
          <w:sz w:val="32"/>
          <w:szCs w:val="32"/>
          <w:lang w:eastAsia="zh-CN"/>
        </w:rPr>
        <w:t>医用耗材</w:t>
      </w:r>
      <w:r>
        <w:rPr>
          <w:rFonts w:hint="eastAsia" w:ascii="仿宋_GB2312" w:hAnsi="仿宋" w:eastAsia="仿宋_GB2312"/>
          <w:color w:val="auto"/>
          <w:sz w:val="32"/>
          <w:szCs w:val="32"/>
        </w:rPr>
        <w:t>，存在</w:t>
      </w:r>
      <w:r>
        <w:rPr>
          <w:rFonts w:hint="eastAsia" w:ascii="仿宋_GB2312" w:hAnsi="仿宋" w:eastAsia="仿宋_GB2312"/>
          <w:color w:val="auto"/>
          <w:sz w:val="32"/>
          <w:szCs w:val="32"/>
          <w:lang w:eastAsia="zh-CN"/>
        </w:rPr>
        <w:t>上述（一）（三）（四）项</w:t>
      </w:r>
      <w:r>
        <w:rPr>
          <w:rFonts w:hint="eastAsia" w:ascii="仿宋_GB2312" w:hAnsi="仿宋" w:eastAsia="仿宋_GB2312"/>
          <w:color w:val="auto"/>
          <w:sz w:val="32"/>
          <w:szCs w:val="32"/>
        </w:rPr>
        <w:t>情形</w:t>
      </w:r>
      <w:r>
        <w:rPr>
          <w:rFonts w:hint="eastAsia" w:ascii="仿宋_GB2312" w:hAnsi="仿宋" w:eastAsia="仿宋_GB2312"/>
          <w:color w:val="auto"/>
          <w:sz w:val="32"/>
          <w:szCs w:val="32"/>
          <w:lang w:eastAsia="zh-CN"/>
        </w:rPr>
        <w:t>的</w:t>
      </w: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原则上直接调出。</w:t>
      </w:r>
    </w:p>
    <w:p w14:paraId="24F1A29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sz w:val="32"/>
          <w:szCs w:val="32"/>
        </w:rPr>
      </w:pPr>
    </w:p>
    <w:p w14:paraId="560DB41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第三章</w:t>
      </w:r>
      <w:r>
        <w:rPr>
          <w:rFonts w:hint="eastAsia" w:ascii="黑体" w:hAnsi="黑体" w:eastAsia="黑体" w:cs="黑体"/>
          <w:color w:val="auto"/>
          <w:sz w:val="32"/>
          <w:szCs w:val="32"/>
          <w:lang w:val="en-US" w:eastAsia="zh-CN"/>
        </w:rPr>
        <w:t xml:space="preserve">  申报流程及要求</w:t>
      </w:r>
    </w:p>
    <w:p w14:paraId="65DD9E75">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第十二条</w:t>
      </w:r>
      <w:r>
        <w:rPr>
          <w:rFonts w:hint="eastAsia" w:ascii="仿宋_GB2312" w:hAnsi="仿宋" w:eastAsia="仿宋_GB2312"/>
          <w:color w:val="auto"/>
          <w:sz w:val="32"/>
          <w:szCs w:val="32"/>
          <w:highlight w:val="none"/>
          <w:lang w:val="en-US" w:eastAsia="zh-CN"/>
        </w:rPr>
        <w:t xml:space="preserve"> </w:t>
      </w:r>
      <w:r>
        <w:rPr>
          <w:rFonts w:hint="eastAsia" w:ascii="仿宋_GB2312" w:hAnsi="仿宋" w:eastAsia="仿宋_GB2312"/>
          <w:color w:val="auto"/>
          <w:sz w:val="32"/>
          <w:szCs w:val="32"/>
          <w:lang w:val="en-US" w:eastAsia="zh-CN"/>
        </w:rPr>
        <w:t>按照属地管理原则，定点医疗机构</w:t>
      </w:r>
      <w:r>
        <w:rPr>
          <w:rFonts w:hint="eastAsia" w:ascii="仿宋_GB2312" w:hAnsi="仿宋" w:eastAsia="仿宋_GB2312"/>
          <w:color w:val="auto"/>
          <w:sz w:val="32"/>
          <w:szCs w:val="32"/>
          <w:highlight w:val="none"/>
          <w:lang w:val="en-US" w:eastAsia="zh-CN"/>
        </w:rPr>
        <w:t>申请将符合条件的</w:t>
      </w:r>
      <w:r>
        <w:rPr>
          <w:rFonts w:hint="eastAsia" w:ascii="仿宋_GB2312" w:hAnsi="仿宋" w:eastAsia="仿宋_GB2312"/>
          <w:color w:val="auto"/>
          <w:sz w:val="32"/>
          <w:szCs w:val="32"/>
          <w:lang w:val="en-US" w:eastAsia="zh-CN"/>
        </w:rPr>
        <w:t>医用耗材纳入医保基金支付范围的，可按程序向所在地设区市医疗保障部门申报，并提供以下材料：</w:t>
      </w:r>
    </w:p>
    <w:p w14:paraId="6906C12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w:t>
      </w:r>
      <w:bookmarkStart w:id="0" w:name="_Hlk145321212"/>
      <w:r>
        <w:rPr>
          <w:rFonts w:hint="eastAsia" w:ascii="Times New Roman" w:hAnsi="Times New Roman" w:eastAsia="仿宋_GB2312"/>
          <w:color w:val="000000"/>
          <w:sz w:val="32"/>
          <w:szCs w:val="32"/>
          <w:lang w:eastAsia="zh-CN"/>
        </w:rPr>
        <w:t>医用耗材</w:t>
      </w:r>
      <w:r>
        <w:rPr>
          <w:rFonts w:hint="eastAsia" w:ascii="Times New Roman" w:hAnsi="Times New Roman" w:eastAsia="仿宋_GB2312"/>
          <w:color w:val="000000"/>
          <w:sz w:val="32"/>
          <w:szCs w:val="32"/>
        </w:rPr>
        <w:t>纳入</w:t>
      </w:r>
      <w:r>
        <w:rPr>
          <w:rFonts w:hint="eastAsia" w:ascii="Times New Roman" w:hAnsi="Times New Roman" w:eastAsia="仿宋_GB2312"/>
          <w:color w:val="000000"/>
          <w:sz w:val="32"/>
          <w:szCs w:val="32"/>
          <w:lang w:eastAsia="zh-CN"/>
        </w:rPr>
        <w:t>医保</w:t>
      </w:r>
      <w:r>
        <w:rPr>
          <w:rFonts w:hint="eastAsia" w:ascii="Times New Roman" w:hAnsi="Times New Roman" w:eastAsia="仿宋_GB2312"/>
          <w:color w:val="000000"/>
          <w:sz w:val="32"/>
          <w:szCs w:val="32"/>
        </w:rPr>
        <w:t>基金支付范围的申请</w:t>
      </w:r>
      <w:bookmarkEnd w:id="0"/>
      <w:r>
        <w:rPr>
          <w:rFonts w:hint="eastAsia" w:ascii="Times New Roman" w:hAnsi="Times New Roman" w:eastAsia="仿宋_GB2312"/>
          <w:color w:val="000000"/>
          <w:sz w:val="32"/>
          <w:szCs w:val="32"/>
        </w:rPr>
        <w:t>；</w:t>
      </w:r>
    </w:p>
    <w:p w14:paraId="65B3957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（二）</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拟纳入基本医疗保险支付范围</w:t>
      </w:r>
      <w:r>
        <w:rPr>
          <w:rFonts w:hint="eastAsia" w:ascii="Times New Roman" w:hAnsi="Times New Roman" w:eastAsia="仿宋_GB2312" w:cs="Times New Roman"/>
          <w:bCs/>
          <w:sz w:val="32"/>
          <w:szCs w:val="32"/>
          <w:lang w:eastAsia="zh-CN"/>
        </w:rPr>
        <w:t>医用耗材</w:t>
      </w:r>
      <w:r>
        <w:rPr>
          <w:rFonts w:hint="eastAsia" w:ascii="Times New Roman" w:hAnsi="Times New Roman" w:eastAsia="仿宋_GB2312" w:cs="Times New Roman"/>
          <w:bCs/>
          <w:sz w:val="32"/>
          <w:szCs w:val="32"/>
        </w:rPr>
        <w:t>申报表</w:t>
      </w:r>
      <w:r>
        <w:rPr>
          <w:rFonts w:hint="eastAsia" w:ascii="Times New Roman" w:hAnsi="Times New Roman" w:eastAsia="仿宋_GB2312" w:cs="Times New Roman"/>
          <w:bCs/>
          <w:sz w:val="32"/>
          <w:szCs w:val="32"/>
          <w:lang w:eastAsia="zh-CN"/>
        </w:rPr>
        <w:t>》（附件</w:t>
      </w:r>
      <w:r>
        <w:rPr>
          <w:rFonts w:hint="eastAsia" w:ascii="Times New Roman" w:hAnsi="Times New Roman" w:eastAsia="仿宋_GB2312" w:cs="Times New Roman"/>
          <w:bCs/>
          <w:sz w:val="32"/>
          <w:szCs w:val="32"/>
          <w:lang w:val="en-US" w:eastAsia="zh-CN"/>
        </w:rPr>
        <w:t>1</w:t>
      </w:r>
      <w:r>
        <w:rPr>
          <w:rFonts w:hint="eastAsia" w:ascii="Times New Roman" w:hAnsi="Times New Roman" w:eastAsia="仿宋_GB2312" w:cs="Times New Roman"/>
          <w:bCs/>
          <w:sz w:val="32"/>
          <w:szCs w:val="32"/>
          <w:lang w:eastAsia="zh-CN"/>
        </w:rPr>
        <w:t>）</w:t>
      </w:r>
      <w:r>
        <w:rPr>
          <w:rFonts w:ascii="Times New Roman" w:hAnsi="Times New Roman" w:eastAsia="仿宋_GB2312" w:cs="Times New Roman"/>
          <w:bCs/>
          <w:sz w:val="32"/>
          <w:szCs w:val="32"/>
        </w:rPr>
        <w:t>；</w:t>
      </w:r>
    </w:p>
    <w:p w14:paraId="37C6F8F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（三）药品监督管理部门</w:t>
      </w:r>
      <w:r>
        <w:rPr>
          <w:rFonts w:hint="eastAsia" w:ascii="Times New Roman" w:hAnsi="Times New Roman" w:eastAsia="仿宋_GB2312"/>
          <w:sz w:val="32"/>
          <w:szCs w:val="32"/>
          <w:lang w:eastAsia="zh-CN"/>
        </w:rPr>
        <w:t>核发的注册批件</w:t>
      </w:r>
      <w:r>
        <w:rPr>
          <w:rFonts w:hint="eastAsia" w:ascii="Times New Roman" w:hAnsi="Times New Roman" w:eastAsia="仿宋_GB2312"/>
          <w:sz w:val="32"/>
          <w:szCs w:val="32"/>
        </w:rPr>
        <w:t>复印件</w:t>
      </w:r>
      <w:r>
        <w:rPr>
          <w:rFonts w:hint="eastAsia" w:ascii="Times New Roman" w:hAnsi="Times New Roman" w:eastAsia="仿宋_GB2312"/>
          <w:sz w:val="32"/>
          <w:szCs w:val="32"/>
          <w:lang w:eastAsia="zh-CN"/>
        </w:rPr>
        <w:t>或</w:t>
      </w:r>
      <w:r>
        <w:rPr>
          <w:rFonts w:hint="eastAsia" w:ascii="Times New Roman" w:hAnsi="Times New Roman" w:eastAsia="仿宋_GB2312"/>
          <w:sz w:val="32"/>
          <w:szCs w:val="32"/>
        </w:rPr>
        <w:t>网站公示的备案信息截图</w:t>
      </w:r>
      <w:r>
        <w:rPr>
          <w:rFonts w:hint="eastAsia" w:ascii="Times New Roman" w:hAnsi="Times New Roman" w:eastAsia="仿宋_GB2312"/>
          <w:sz w:val="32"/>
          <w:szCs w:val="32"/>
          <w:lang w:eastAsia="zh-CN"/>
        </w:rPr>
        <w:t>，以及产品说明书</w:t>
      </w:r>
      <w:r>
        <w:rPr>
          <w:rFonts w:hint="eastAsia" w:ascii="Times New Roman" w:hAnsi="Times New Roman" w:eastAsia="仿宋_GB2312"/>
          <w:sz w:val="32"/>
          <w:szCs w:val="32"/>
        </w:rPr>
        <w:t>；</w:t>
      </w:r>
    </w:p>
    <w:p w14:paraId="32C16090">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olor w:val="auto"/>
          <w:sz w:val="32"/>
          <w:szCs w:val="32"/>
          <w:lang w:val="en-US" w:eastAsia="zh-CN"/>
        </w:rPr>
      </w:pPr>
      <w:r>
        <w:rPr>
          <w:rFonts w:hint="eastAsia" w:ascii="Times New Roman" w:hAnsi="Times New Roman" w:eastAsia="仿宋_GB2312"/>
          <w:sz w:val="32"/>
          <w:szCs w:val="32"/>
          <w:lang w:eastAsia="zh-CN"/>
        </w:rPr>
        <w:t>（四）根据实际情况提供价格、挂网、经济性评价信息等其他相关材料。</w:t>
      </w:r>
    </w:p>
    <w:p w14:paraId="638717AA">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第十三条 设区市医疗保障部门收到医疗机构申请后，对相关材料进行审核，根据参保人员需求及医保基金支撑能力等进行测算，提出拟纳入医保基金支付范围的医用耗材初审名单，</w:t>
      </w:r>
      <w:r>
        <w:rPr>
          <w:rFonts w:hint="eastAsia" w:ascii="Times New Roman" w:hAnsi="Times New Roman" w:eastAsia="仿宋_GB2312" w:cs="Times New Roman"/>
          <w:bCs/>
          <w:sz w:val="32"/>
          <w:szCs w:val="32"/>
          <w:lang w:eastAsia="zh-CN"/>
        </w:rPr>
        <w:t>填写《</w:t>
      </w:r>
      <w:r>
        <w:rPr>
          <w:rFonts w:hint="eastAsia" w:ascii="Times New Roman" w:hAnsi="Times New Roman" w:eastAsia="仿宋_GB2312" w:cs="Times New Roman"/>
          <w:bCs/>
          <w:sz w:val="32"/>
          <w:szCs w:val="32"/>
        </w:rPr>
        <w:t>拟纳入基本医疗保险支付范围</w:t>
      </w:r>
      <w:r>
        <w:rPr>
          <w:rFonts w:hint="eastAsia" w:ascii="Times New Roman" w:hAnsi="Times New Roman" w:eastAsia="仿宋_GB2312" w:cs="Times New Roman"/>
          <w:bCs/>
          <w:sz w:val="32"/>
          <w:szCs w:val="32"/>
          <w:lang w:eastAsia="zh-CN"/>
        </w:rPr>
        <w:t>医用耗材</w:t>
      </w:r>
      <w:r>
        <w:rPr>
          <w:rFonts w:hint="eastAsia" w:ascii="Times New Roman" w:hAnsi="Times New Roman" w:eastAsia="仿宋_GB2312" w:cs="Times New Roman"/>
          <w:bCs/>
          <w:sz w:val="32"/>
          <w:szCs w:val="32"/>
        </w:rPr>
        <w:t>推荐名单</w:t>
      </w:r>
      <w:r>
        <w:rPr>
          <w:rFonts w:hint="eastAsia" w:ascii="Times New Roman" w:hAnsi="Times New Roman" w:eastAsia="仿宋_GB2312" w:cs="Times New Roman"/>
          <w:bCs/>
          <w:sz w:val="32"/>
          <w:szCs w:val="32"/>
          <w:lang w:eastAsia="zh-CN"/>
        </w:rPr>
        <w:t>》（附件</w:t>
      </w:r>
      <w:r>
        <w:rPr>
          <w:rFonts w:hint="eastAsia" w:ascii="Times New Roman" w:hAnsi="Times New Roman" w:eastAsia="仿宋_GB2312" w:cs="Times New Roman"/>
          <w:bCs/>
          <w:sz w:val="32"/>
          <w:szCs w:val="32"/>
          <w:lang w:val="en-US" w:eastAsia="zh-CN"/>
        </w:rPr>
        <w:t>2</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报省级医疗保障部门。</w:t>
      </w:r>
    </w:p>
    <w:p w14:paraId="4954866A">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第</w:t>
      </w:r>
      <w:r>
        <w:rPr>
          <w:rFonts w:hint="eastAsia" w:ascii="仿宋_GB2312" w:hAnsi="仿宋" w:eastAsia="仿宋_GB2312" w:cstheme="minorBidi"/>
          <w:color w:val="auto"/>
          <w:sz w:val="32"/>
          <w:szCs w:val="32"/>
          <w:lang w:val="en-US" w:eastAsia="zh-CN"/>
        </w:rPr>
        <w:t>十四</w:t>
      </w:r>
      <w:r>
        <w:rPr>
          <w:rFonts w:hint="eastAsia" w:ascii="仿宋_GB2312" w:hAnsi="仿宋" w:eastAsia="仿宋_GB2312"/>
          <w:color w:val="auto"/>
          <w:sz w:val="32"/>
          <w:szCs w:val="32"/>
          <w:lang w:val="en-US" w:eastAsia="zh-CN"/>
        </w:rPr>
        <w:t>条 省级医疗保障部门组织</w:t>
      </w:r>
      <w:r>
        <w:rPr>
          <w:rFonts w:hint="eastAsia" w:ascii="仿宋_GB2312" w:hAnsi="仿宋" w:eastAsia="仿宋_GB2312" w:cstheme="minorBidi"/>
          <w:color w:val="auto"/>
          <w:kern w:val="2"/>
          <w:sz w:val="32"/>
          <w:szCs w:val="32"/>
        </w:rPr>
        <w:t>医用耗材、临床、</w:t>
      </w:r>
      <w:r>
        <w:rPr>
          <w:rFonts w:hint="eastAsia" w:ascii="仿宋_GB2312" w:hAnsi="仿宋" w:eastAsia="仿宋_GB2312"/>
          <w:color w:val="auto"/>
          <w:sz w:val="32"/>
          <w:szCs w:val="32"/>
          <w:lang w:val="en-US" w:eastAsia="zh-CN"/>
        </w:rPr>
        <w:t>医保管理等方面专家，对设区市医疗保障部门报送的</w:t>
      </w:r>
      <w:r>
        <w:rPr>
          <w:rFonts w:hint="eastAsia" w:ascii="仿宋_GB2312" w:hAnsi="仿宋" w:eastAsia="仿宋_GB2312" w:cstheme="minorBidi"/>
          <w:color w:val="auto"/>
          <w:sz w:val="32"/>
          <w:szCs w:val="32"/>
          <w:lang w:val="en-US" w:eastAsia="zh-CN"/>
        </w:rPr>
        <w:t>医用耗材</w:t>
      </w:r>
      <w:r>
        <w:rPr>
          <w:rFonts w:hint="eastAsia" w:ascii="仿宋_GB2312" w:hAnsi="仿宋" w:eastAsia="仿宋_GB2312"/>
          <w:color w:val="auto"/>
          <w:sz w:val="32"/>
          <w:szCs w:val="32"/>
          <w:lang w:val="en-US" w:eastAsia="zh-CN"/>
        </w:rPr>
        <w:t>进行评审，确定纳入基金支付范围的</w:t>
      </w:r>
      <w:r>
        <w:rPr>
          <w:rFonts w:hint="eastAsia" w:ascii="仿宋_GB2312" w:hAnsi="仿宋" w:eastAsia="仿宋_GB2312" w:cstheme="minorBidi"/>
          <w:color w:val="auto"/>
          <w:sz w:val="32"/>
          <w:szCs w:val="32"/>
          <w:lang w:val="en-US" w:eastAsia="zh-CN"/>
        </w:rPr>
        <w:t>医用耗材</w:t>
      </w:r>
      <w:r>
        <w:rPr>
          <w:rFonts w:hint="eastAsia" w:ascii="仿宋_GB2312" w:hAnsi="仿宋" w:eastAsia="仿宋_GB2312"/>
          <w:color w:val="auto"/>
          <w:sz w:val="32"/>
          <w:szCs w:val="32"/>
          <w:lang w:val="en-US" w:eastAsia="zh-CN"/>
        </w:rPr>
        <w:t>,向国家医疗保障行政部门备案后，按规定程序发布实施。</w:t>
      </w:r>
    </w:p>
    <w:p w14:paraId="0AF4D1AC">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hAnsi="仿宋" w:cstheme="minorBidi"/>
          <w:color w:val="auto"/>
          <w:sz w:val="32"/>
          <w:szCs w:val="32"/>
          <w:lang w:val="en-US" w:eastAsia="zh-CN"/>
        </w:rPr>
      </w:pPr>
      <w:r>
        <w:rPr>
          <w:rFonts w:hint="eastAsia" w:ascii="仿宋_GB2312" w:hAnsi="仿宋" w:eastAsia="仿宋_GB2312"/>
          <w:color w:val="auto"/>
          <w:sz w:val="32"/>
          <w:szCs w:val="32"/>
        </w:rPr>
        <w:t>符合现行支付政策的集中带量采购中选</w:t>
      </w:r>
      <w:r>
        <w:rPr>
          <w:rFonts w:hint="eastAsia" w:ascii="仿宋_GB2312" w:hAnsi="仿宋" w:eastAsia="仿宋_GB2312"/>
          <w:color w:val="auto"/>
          <w:sz w:val="32"/>
          <w:szCs w:val="32"/>
          <w:lang w:eastAsia="zh-CN"/>
        </w:rPr>
        <w:t>医用</w:t>
      </w:r>
      <w:r>
        <w:rPr>
          <w:rFonts w:hint="eastAsia" w:ascii="仿宋_GB2312" w:hAnsi="仿宋" w:eastAsia="仿宋_GB2312"/>
          <w:color w:val="auto"/>
          <w:sz w:val="32"/>
          <w:szCs w:val="32"/>
        </w:rPr>
        <w:t>耗材优先纳入目录。</w:t>
      </w:r>
      <w:r>
        <w:rPr>
          <w:rFonts w:hint="eastAsia" w:ascii="仿宋_GB2312" w:hAnsi="仿宋" w:eastAsia="仿宋_GB2312" w:cstheme="minorBidi"/>
          <w:color w:val="auto"/>
          <w:kern w:val="2"/>
          <w:sz w:val="32"/>
          <w:szCs w:val="32"/>
        </w:rPr>
        <w:t>探索对独家或高值产品通过谈判等方式准入。</w:t>
      </w:r>
    </w:p>
    <w:p w14:paraId="390EF3B6">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b/>
          <w:color w:val="auto"/>
          <w:sz w:val="32"/>
          <w:szCs w:val="32"/>
        </w:rPr>
      </w:pPr>
      <w:r>
        <w:rPr>
          <w:rFonts w:hint="eastAsia" w:hAnsi="仿宋" w:cstheme="minorBidi"/>
          <w:color w:val="auto"/>
          <w:sz w:val="32"/>
          <w:szCs w:val="32"/>
          <w:lang w:val="en-US" w:eastAsia="zh-CN"/>
        </w:rPr>
        <w:t xml:space="preserve"> </w:t>
      </w:r>
      <w:r>
        <w:rPr>
          <w:rFonts w:hint="eastAsia" w:ascii="仿宋_GB2312" w:hAnsi="仿宋" w:eastAsia="仿宋_GB2312"/>
          <w:color w:val="auto"/>
          <w:sz w:val="32"/>
          <w:szCs w:val="32"/>
        </w:rPr>
        <w:t>第十</w:t>
      </w:r>
      <w:r>
        <w:rPr>
          <w:rFonts w:hint="eastAsia" w:ascii="仿宋_GB2312" w:hAnsi="仿宋" w:eastAsia="仿宋_GB2312"/>
          <w:color w:val="auto"/>
          <w:sz w:val="32"/>
          <w:szCs w:val="32"/>
          <w:lang w:eastAsia="zh-CN"/>
        </w:rPr>
        <w:t>五</w:t>
      </w:r>
      <w:r>
        <w:rPr>
          <w:rFonts w:hint="eastAsia" w:ascii="仿宋_GB2312" w:hAnsi="仿宋" w:eastAsia="仿宋_GB2312"/>
          <w:color w:val="auto"/>
          <w:sz w:val="32"/>
          <w:szCs w:val="32"/>
        </w:rPr>
        <w:t xml:space="preserve">条 </w:t>
      </w:r>
      <w:r>
        <w:rPr>
          <w:rFonts w:hint="eastAsia" w:ascii="Times New Roman" w:hAnsi="Times New Roman" w:eastAsia="仿宋_GB2312"/>
          <w:sz w:val="32"/>
          <w:szCs w:val="32"/>
        </w:rPr>
        <w:t>新上市</w:t>
      </w:r>
      <w:r>
        <w:rPr>
          <w:rFonts w:hint="eastAsia" w:ascii="Times New Roman" w:hAnsi="Times New Roman" w:eastAsia="仿宋_GB2312"/>
          <w:sz w:val="32"/>
          <w:szCs w:val="32"/>
          <w:lang w:eastAsia="zh-CN"/>
        </w:rPr>
        <w:t>并获得国家医疗保障</w:t>
      </w:r>
      <w:r>
        <w:rPr>
          <w:rFonts w:hint="eastAsia" w:ascii="Times New Roman" w:hAnsi="Times New Roman" w:eastAsia="仿宋_GB2312"/>
          <w:sz w:val="32"/>
          <w:szCs w:val="32"/>
        </w:rPr>
        <w:t>医用耗材编码的医用耗材</w:t>
      </w:r>
      <w:r>
        <w:rPr>
          <w:rFonts w:hint="eastAsia" w:ascii="Times New Roman" w:hAnsi="Times New Roman" w:eastAsia="仿宋_GB2312"/>
          <w:sz w:val="32"/>
          <w:szCs w:val="32"/>
          <w:lang w:eastAsia="zh-CN"/>
        </w:rPr>
        <w:t>，如该</w:t>
      </w:r>
      <w:r>
        <w:rPr>
          <w:rFonts w:hint="eastAsia" w:ascii="Times New Roman" w:hAnsi="Times New Roman" w:eastAsia="仿宋_GB2312"/>
          <w:sz w:val="32"/>
          <w:szCs w:val="32"/>
        </w:rPr>
        <w:t>编码与目录内医用耗材编码一致</w:t>
      </w:r>
      <w:r>
        <w:rPr>
          <w:rFonts w:hint="eastAsia" w:ascii="Times New Roman" w:hAnsi="Times New Roman" w:eastAsia="仿宋_GB2312"/>
          <w:sz w:val="32"/>
          <w:szCs w:val="32"/>
          <w:lang w:eastAsia="zh-CN"/>
        </w:rPr>
        <w:t>且用途、功能等相同，符合纳入医用耗材目录基本条件的</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原则上</w:t>
      </w:r>
      <w:r>
        <w:rPr>
          <w:rFonts w:hint="eastAsia" w:ascii="Times New Roman" w:hAnsi="Times New Roman" w:eastAsia="仿宋_GB2312"/>
          <w:sz w:val="32"/>
          <w:szCs w:val="32"/>
        </w:rPr>
        <w:t>自</w:t>
      </w:r>
      <w:r>
        <w:rPr>
          <w:rFonts w:hint="eastAsia" w:ascii="仿宋_GB2312" w:hAnsi="仿宋" w:eastAsia="仿宋_GB2312"/>
          <w:color w:val="auto"/>
          <w:sz w:val="32"/>
          <w:szCs w:val="32"/>
        </w:rPr>
        <w:t>动纳入《基本医保医用耗材目录》。如该医用耗材编码与目录内医用耗材编码不一致，</w:t>
      </w:r>
      <w:r>
        <w:rPr>
          <w:rFonts w:hint="eastAsia" w:ascii="仿宋_GB2312" w:hAnsi="仿宋" w:eastAsia="仿宋_GB2312"/>
          <w:color w:val="auto"/>
          <w:sz w:val="32"/>
          <w:szCs w:val="32"/>
          <w:lang w:val="en-US" w:eastAsia="zh-CN"/>
        </w:rPr>
        <w:t>按照上述申报及评审</w:t>
      </w:r>
      <w:r>
        <w:rPr>
          <w:rFonts w:hint="eastAsia" w:ascii="仿宋_GB2312" w:hAnsi="仿宋" w:eastAsia="仿宋_GB2312"/>
          <w:color w:val="auto"/>
          <w:sz w:val="32"/>
          <w:szCs w:val="32"/>
          <w:highlight w:val="none"/>
          <w:lang w:val="en-US" w:eastAsia="zh-CN"/>
        </w:rPr>
        <w:t>流程</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确定是否纳入《基本医保医用耗材目录》。</w:t>
      </w:r>
    </w:p>
    <w:p w14:paraId="5ACDE3C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b w:val="0"/>
          <w:bCs/>
          <w:color w:val="auto"/>
          <w:sz w:val="32"/>
          <w:szCs w:val="32"/>
        </w:rPr>
      </w:pPr>
    </w:p>
    <w:p w14:paraId="0BBB065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b w:val="0"/>
          <w:bCs/>
          <w:color w:val="auto"/>
          <w:sz w:val="32"/>
          <w:szCs w:val="32"/>
          <w:lang w:eastAsia="zh-CN"/>
        </w:rPr>
      </w:pPr>
      <w:r>
        <w:rPr>
          <w:rFonts w:hint="eastAsia" w:ascii="黑体" w:hAnsi="黑体" w:eastAsia="黑体"/>
          <w:b w:val="0"/>
          <w:bCs/>
          <w:color w:val="auto"/>
          <w:sz w:val="32"/>
          <w:szCs w:val="32"/>
        </w:rPr>
        <w:t>第</w:t>
      </w:r>
      <w:r>
        <w:rPr>
          <w:rFonts w:hint="eastAsia" w:ascii="黑体" w:hAnsi="黑体" w:eastAsia="黑体"/>
          <w:b w:val="0"/>
          <w:bCs/>
          <w:color w:val="auto"/>
          <w:sz w:val="32"/>
          <w:szCs w:val="32"/>
          <w:lang w:eastAsia="zh-CN"/>
        </w:rPr>
        <w:t>四</w:t>
      </w:r>
      <w:r>
        <w:rPr>
          <w:rFonts w:hint="eastAsia" w:ascii="黑体" w:hAnsi="黑体" w:eastAsia="黑体"/>
          <w:b w:val="0"/>
          <w:bCs/>
          <w:color w:val="auto"/>
          <w:sz w:val="32"/>
          <w:szCs w:val="32"/>
        </w:rPr>
        <w:t xml:space="preserve">章  </w:t>
      </w:r>
      <w:r>
        <w:rPr>
          <w:rFonts w:hint="eastAsia" w:ascii="黑体" w:hAnsi="黑体" w:eastAsia="黑体"/>
          <w:b w:val="0"/>
          <w:bCs/>
          <w:color w:val="auto"/>
          <w:sz w:val="32"/>
          <w:szCs w:val="32"/>
          <w:lang w:eastAsia="zh-CN"/>
        </w:rPr>
        <w:t>目录的管理和支付</w:t>
      </w:r>
    </w:p>
    <w:p w14:paraId="28EBE581">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第十</w:t>
      </w:r>
      <w:r>
        <w:rPr>
          <w:rFonts w:hint="eastAsia" w:ascii="仿宋_GB2312" w:hAnsi="仿宋" w:eastAsia="仿宋_GB2312"/>
          <w:color w:val="auto"/>
          <w:sz w:val="32"/>
          <w:szCs w:val="32"/>
          <w:lang w:val="en-US" w:eastAsia="zh-CN"/>
        </w:rPr>
        <w:t>六</w:t>
      </w:r>
      <w:r>
        <w:rPr>
          <w:rFonts w:hint="eastAsia" w:ascii="仿宋_GB2312" w:hAnsi="仿宋" w:eastAsia="仿宋_GB2312"/>
          <w:color w:val="auto"/>
          <w:sz w:val="32"/>
          <w:szCs w:val="32"/>
        </w:rPr>
        <w:t>条 各</w:t>
      </w:r>
      <w:r>
        <w:rPr>
          <w:rFonts w:hint="eastAsia" w:ascii="仿宋_GB2312" w:hAnsi="仿宋" w:eastAsia="仿宋_GB2312"/>
          <w:color w:val="auto"/>
          <w:sz w:val="32"/>
          <w:szCs w:val="32"/>
          <w:lang w:eastAsia="zh-CN"/>
        </w:rPr>
        <w:t>统筹区</w:t>
      </w:r>
      <w:r>
        <w:rPr>
          <w:rFonts w:hint="eastAsia" w:ascii="仿宋_GB2312" w:hAnsi="仿宋" w:eastAsia="仿宋_GB2312"/>
          <w:color w:val="auto"/>
          <w:sz w:val="32"/>
          <w:szCs w:val="32"/>
        </w:rPr>
        <w:t>医保部门按规定使用统一的医用耗材编码</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医保经办机构</w:t>
      </w:r>
      <w:r>
        <w:rPr>
          <w:rFonts w:hint="eastAsia" w:ascii="仿宋_GB2312" w:hAnsi="仿宋" w:eastAsia="仿宋_GB2312"/>
          <w:color w:val="auto"/>
          <w:sz w:val="32"/>
          <w:szCs w:val="32"/>
        </w:rPr>
        <w:t>根据国家要求动态更新医保目录内医用耗材编码库。</w:t>
      </w:r>
    </w:p>
    <w:p w14:paraId="44263AA1">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第十</w:t>
      </w:r>
      <w:r>
        <w:rPr>
          <w:rFonts w:hint="eastAsia" w:ascii="仿宋_GB2312" w:hAnsi="仿宋" w:eastAsia="仿宋_GB2312"/>
          <w:color w:val="auto"/>
          <w:sz w:val="32"/>
          <w:szCs w:val="32"/>
          <w:lang w:eastAsia="zh-CN"/>
        </w:rPr>
        <w:t>七</w:t>
      </w:r>
      <w:r>
        <w:rPr>
          <w:rFonts w:hint="eastAsia" w:ascii="仿宋_GB2312" w:hAnsi="仿宋" w:eastAsia="仿宋_GB2312"/>
          <w:color w:val="auto"/>
          <w:sz w:val="32"/>
          <w:szCs w:val="32"/>
        </w:rPr>
        <w:t>条 定点医疗机构应优先配备和使用《基本医保医用耗材目录》内医用耗材及医保部门组织的集中带量采购中选医用耗材。</w:t>
      </w:r>
    </w:p>
    <w:p w14:paraId="3A87284B">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rPr>
        <w:t>第十</w:t>
      </w:r>
      <w:r>
        <w:rPr>
          <w:rFonts w:hint="eastAsia" w:ascii="仿宋_GB2312" w:hAnsi="仿宋" w:eastAsia="仿宋_GB2312"/>
          <w:color w:val="auto"/>
          <w:sz w:val="32"/>
          <w:szCs w:val="32"/>
          <w:lang w:eastAsia="zh-CN"/>
        </w:rPr>
        <w:t>八</w:t>
      </w:r>
      <w:r>
        <w:rPr>
          <w:rFonts w:hint="eastAsia" w:ascii="仿宋_GB2312" w:hAnsi="仿宋" w:eastAsia="仿宋_GB2312"/>
          <w:color w:val="auto"/>
          <w:sz w:val="32"/>
          <w:szCs w:val="32"/>
        </w:rPr>
        <w:t>条</w:t>
      </w:r>
      <w:r>
        <w:rPr>
          <w:rFonts w:hint="eastAsia" w:ascii="仿宋_GB2312" w:hAnsi="仿宋" w:eastAsia="仿宋_GB2312"/>
          <w:color w:val="auto"/>
          <w:sz w:val="32"/>
          <w:szCs w:val="32"/>
          <w:lang w:eastAsia="zh-CN"/>
        </w:rPr>
        <w:t xml:space="preserve"> </w:t>
      </w:r>
      <w:r>
        <w:rPr>
          <w:rFonts w:hint="eastAsia" w:ascii="仿宋_GB2312" w:hAnsi="仿宋" w:eastAsia="仿宋_GB2312"/>
          <w:color w:val="auto"/>
          <w:sz w:val="32"/>
          <w:szCs w:val="32"/>
        </w:rPr>
        <w:t>医用耗材的</w:t>
      </w:r>
      <w:r>
        <w:rPr>
          <w:rFonts w:hint="eastAsia" w:ascii="仿宋_GB2312" w:hAnsi="仿宋" w:eastAsia="仿宋_GB2312"/>
          <w:color w:val="auto"/>
          <w:sz w:val="32"/>
          <w:szCs w:val="32"/>
          <w:lang w:eastAsia="zh-CN"/>
        </w:rPr>
        <w:t>个人先行自付比例、支付比例及具体支付方式等由各统筹区按照国家、省及统筹区有关规定执行，应综合考虑医用耗材的临床价值、使用频率、价格及费用水平、基金承受能力、参保人负担等因素合理确定。</w:t>
      </w:r>
    </w:p>
    <w:p w14:paraId="7AA9BE31">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第十九条</w:t>
      </w:r>
      <w:r>
        <w:rPr>
          <w:rFonts w:hint="eastAsia" w:ascii="仿宋_GB2312" w:hAnsi="仿宋" w:eastAsia="仿宋_GB2312"/>
          <w:color w:val="auto"/>
          <w:sz w:val="32"/>
          <w:szCs w:val="32"/>
          <w:highlight w:val="none"/>
          <w:lang w:val="en-US" w:eastAsia="zh-CN"/>
        </w:rPr>
        <w:t xml:space="preserve"> </w:t>
      </w:r>
      <w:r>
        <w:rPr>
          <w:rFonts w:hint="eastAsia" w:ascii="仿宋_GB2312" w:hAnsi="仿宋" w:eastAsia="仿宋_GB2312"/>
          <w:color w:val="auto"/>
          <w:sz w:val="32"/>
          <w:szCs w:val="32"/>
          <w:lang w:val="en-US" w:eastAsia="zh-CN"/>
        </w:rPr>
        <w:t>省级医疗保障部门按国家要求完善支付标准与集中采购价格协同机制，集中带量采购中选产品按相关规定确定支付标准。各统筹区医疗保障部门可充分考虑医用耗材成本、本地区医疗水平、经济发展水平、医保基金支撑能力、患者承受能力等因素，合理制定本统筹区医用耗材医保支付限额。</w:t>
      </w:r>
    </w:p>
    <w:p w14:paraId="49D94EBB">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医用耗材价格超出统筹区最高支付限额的，超出部分由参保人员承担；价格低于支付限额的，按照实际价格由医保基金和参保人员按报销比例分担。</w:t>
      </w:r>
    </w:p>
    <w:p w14:paraId="5B603F0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bCs/>
          <w:sz w:val="32"/>
          <w:szCs w:val="32"/>
        </w:rPr>
      </w:pPr>
      <w:r>
        <w:rPr>
          <w:rFonts w:hint="eastAsia" w:ascii="仿宋_GB2312" w:hAnsi="仿宋" w:eastAsia="仿宋_GB2312"/>
          <w:color w:val="auto"/>
          <w:sz w:val="32"/>
          <w:szCs w:val="32"/>
        </w:rPr>
        <w:t>第</w:t>
      </w:r>
      <w:r>
        <w:rPr>
          <w:rFonts w:hint="eastAsia" w:ascii="仿宋_GB2312" w:hAnsi="仿宋" w:eastAsia="仿宋_GB2312"/>
          <w:color w:val="auto"/>
          <w:sz w:val="32"/>
          <w:szCs w:val="32"/>
          <w:lang w:eastAsia="zh-CN"/>
        </w:rPr>
        <w:t>二十</w:t>
      </w:r>
      <w:r>
        <w:rPr>
          <w:rFonts w:hint="eastAsia" w:ascii="仿宋_GB2312" w:hAnsi="仿宋" w:eastAsia="仿宋_GB2312"/>
          <w:color w:val="auto"/>
          <w:sz w:val="32"/>
          <w:szCs w:val="32"/>
        </w:rPr>
        <w:t xml:space="preserve">条 </w:t>
      </w:r>
      <w:r>
        <w:rPr>
          <w:rFonts w:hint="eastAsia" w:ascii="Times New Roman" w:hAnsi="Times New Roman" w:eastAsia="仿宋_GB2312"/>
          <w:sz w:val="32"/>
          <w:szCs w:val="32"/>
        </w:rPr>
        <w:t>省级医疗保障部门及时向社会</w:t>
      </w:r>
      <w:r>
        <w:rPr>
          <w:rFonts w:hint="eastAsia" w:ascii="Times New Roman" w:hAnsi="Times New Roman" w:eastAsia="仿宋_GB2312"/>
          <w:sz w:val="32"/>
          <w:szCs w:val="32"/>
          <w:lang w:eastAsia="zh-CN"/>
        </w:rPr>
        <w:t>发布</w:t>
      </w:r>
      <w:r>
        <w:rPr>
          <w:rFonts w:hint="eastAsia" w:ascii="Times New Roman" w:hAnsi="Times New Roman" w:eastAsia="仿宋_GB2312"/>
          <w:sz w:val="32"/>
          <w:szCs w:val="32"/>
        </w:rPr>
        <w:t>《</w:t>
      </w:r>
      <w:r>
        <w:rPr>
          <w:rFonts w:hint="eastAsia" w:ascii="仿宋_GB2312" w:hAnsi="仿宋" w:eastAsia="仿宋_GB2312"/>
          <w:color w:val="auto"/>
          <w:sz w:val="32"/>
          <w:szCs w:val="32"/>
        </w:rPr>
        <w:t>基本医保医用耗材目</w:t>
      </w:r>
      <w:r>
        <w:rPr>
          <w:rFonts w:hint="eastAsia" w:ascii="Times New Roman" w:hAnsi="Times New Roman" w:eastAsia="仿宋_GB2312"/>
          <w:sz w:val="32"/>
          <w:szCs w:val="32"/>
        </w:rPr>
        <w:t>录》，并公布查询渠道。</w:t>
      </w:r>
      <w:r>
        <w:rPr>
          <w:rFonts w:hint="eastAsia" w:ascii="Times New Roman" w:hAnsi="Times New Roman" w:eastAsia="仿宋_GB2312" w:cs="Times New Roman"/>
          <w:bCs/>
          <w:sz w:val="32"/>
          <w:szCs w:val="32"/>
          <w:lang w:eastAsia="zh-CN"/>
        </w:rPr>
        <w:t>各统筹区</w:t>
      </w:r>
      <w:r>
        <w:rPr>
          <w:rFonts w:hint="eastAsia" w:ascii="Times New Roman" w:hAnsi="Times New Roman" w:eastAsia="仿宋_GB2312" w:cs="Times New Roman"/>
          <w:bCs/>
          <w:sz w:val="32"/>
          <w:szCs w:val="32"/>
        </w:rPr>
        <w:t>医疗保障</w:t>
      </w:r>
      <w:r>
        <w:rPr>
          <w:rFonts w:hint="eastAsia" w:ascii="Times New Roman" w:hAnsi="Times New Roman" w:eastAsia="仿宋_GB2312" w:cs="Times New Roman"/>
          <w:bCs/>
          <w:sz w:val="32"/>
          <w:szCs w:val="32"/>
          <w:lang w:eastAsia="zh-CN"/>
        </w:rPr>
        <w:t>部门</w:t>
      </w:r>
      <w:r>
        <w:rPr>
          <w:rFonts w:hint="eastAsia" w:ascii="Times New Roman" w:hAnsi="Times New Roman" w:eastAsia="仿宋_GB2312" w:cs="Times New Roman"/>
          <w:bCs/>
          <w:sz w:val="32"/>
          <w:szCs w:val="32"/>
        </w:rPr>
        <w:t>及时做好</w:t>
      </w:r>
      <w:r>
        <w:rPr>
          <w:rFonts w:hint="eastAsia" w:ascii="Times New Roman" w:hAnsi="Times New Roman" w:eastAsia="仿宋_GB2312" w:cs="Times New Roman"/>
          <w:bCs/>
          <w:sz w:val="32"/>
          <w:szCs w:val="32"/>
          <w:lang w:eastAsia="zh-CN"/>
        </w:rPr>
        <w:t>医保结算目录库</w:t>
      </w:r>
      <w:r>
        <w:rPr>
          <w:rFonts w:hint="eastAsia" w:ascii="Times New Roman" w:hAnsi="Times New Roman" w:eastAsia="仿宋_GB2312" w:cs="Times New Roman"/>
          <w:bCs/>
          <w:sz w:val="32"/>
          <w:szCs w:val="32"/>
        </w:rPr>
        <w:t>信息维护工作。</w:t>
      </w:r>
      <w:r>
        <w:rPr>
          <w:rFonts w:hint="eastAsia" w:ascii="Times New Roman" w:hAnsi="Times New Roman" w:eastAsia="仿宋_GB2312"/>
          <w:sz w:val="32"/>
          <w:szCs w:val="32"/>
        </w:rPr>
        <w:t>各</w:t>
      </w:r>
      <w:r>
        <w:rPr>
          <w:rFonts w:hint="eastAsia" w:ascii="Times New Roman" w:hAnsi="Times New Roman" w:eastAsia="仿宋_GB2312"/>
          <w:sz w:val="32"/>
          <w:szCs w:val="32"/>
          <w:lang w:val="en-US" w:eastAsia="zh-CN"/>
        </w:rPr>
        <w:t>统筹区</w:t>
      </w:r>
      <w:r>
        <w:rPr>
          <w:rFonts w:hint="eastAsia" w:ascii="Times New Roman" w:hAnsi="Times New Roman" w:eastAsia="仿宋_GB2312"/>
          <w:sz w:val="32"/>
          <w:szCs w:val="32"/>
        </w:rPr>
        <w:t>医疗保障部门加强对《</w:t>
      </w:r>
      <w:r>
        <w:rPr>
          <w:rFonts w:hint="eastAsia" w:ascii="仿宋_GB2312" w:hAnsi="仿宋" w:eastAsia="仿宋_GB2312"/>
          <w:color w:val="auto"/>
          <w:sz w:val="32"/>
          <w:szCs w:val="32"/>
        </w:rPr>
        <w:t>基本医保医用耗材目</w:t>
      </w:r>
      <w:r>
        <w:rPr>
          <w:rFonts w:hint="eastAsia" w:ascii="Times New Roman" w:hAnsi="Times New Roman" w:eastAsia="仿宋_GB2312"/>
          <w:sz w:val="32"/>
          <w:szCs w:val="32"/>
        </w:rPr>
        <w:t>录》</w:t>
      </w:r>
      <w:r>
        <w:rPr>
          <w:rFonts w:hint="eastAsia" w:ascii="Times New Roman" w:hAnsi="Times New Roman" w:eastAsia="仿宋_GB2312"/>
          <w:sz w:val="32"/>
          <w:szCs w:val="32"/>
          <w:lang w:eastAsia="zh-CN"/>
        </w:rPr>
        <w:t>执行</w:t>
      </w:r>
      <w:r>
        <w:rPr>
          <w:rFonts w:hint="eastAsia" w:ascii="Times New Roman" w:hAnsi="Times New Roman" w:eastAsia="仿宋_GB2312"/>
          <w:sz w:val="32"/>
          <w:szCs w:val="32"/>
        </w:rPr>
        <w:t>及医保基金使用情况的</w:t>
      </w:r>
      <w:r>
        <w:rPr>
          <w:rFonts w:hint="eastAsia" w:ascii="Times New Roman" w:hAnsi="Times New Roman" w:eastAsia="仿宋_GB2312"/>
          <w:sz w:val="32"/>
          <w:szCs w:val="32"/>
          <w:lang w:eastAsia="zh-CN"/>
        </w:rPr>
        <w:t>管理</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完善</w:t>
      </w:r>
      <w:r>
        <w:rPr>
          <w:rFonts w:hint="eastAsia" w:ascii="Times New Roman" w:hAnsi="Times New Roman" w:eastAsia="仿宋_GB2312"/>
          <w:sz w:val="32"/>
          <w:szCs w:val="32"/>
        </w:rPr>
        <w:t>定点医药机构协议，强化费用审核，</w:t>
      </w:r>
      <w:r>
        <w:rPr>
          <w:rFonts w:hint="eastAsia" w:ascii="Times New Roman" w:hAnsi="Times New Roman" w:eastAsia="仿宋_GB2312"/>
          <w:sz w:val="32"/>
          <w:szCs w:val="32"/>
          <w:lang w:eastAsia="zh-CN"/>
        </w:rPr>
        <w:t>做好</w:t>
      </w:r>
      <w:r>
        <w:rPr>
          <w:rFonts w:hint="eastAsia" w:ascii="Times New Roman" w:hAnsi="Times New Roman" w:eastAsia="仿宋_GB2312"/>
          <w:sz w:val="32"/>
          <w:szCs w:val="32"/>
        </w:rPr>
        <w:t>医保基金支出及监测分析。执行中</w:t>
      </w:r>
      <w:r>
        <w:rPr>
          <w:rFonts w:hint="eastAsia" w:ascii="Times New Roman" w:hAnsi="Times New Roman" w:eastAsia="仿宋_GB2312"/>
          <w:sz w:val="32"/>
          <w:szCs w:val="32"/>
          <w:lang w:val="en-US" w:eastAsia="zh-CN"/>
        </w:rPr>
        <w:t>如</w:t>
      </w:r>
      <w:r>
        <w:rPr>
          <w:rFonts w:hint="eastAsia" w:ascii="Times New Roman" w:hAnsi="Times New Roman" w:eastAsia="仿宋_GB2312"/>
          <w:sz w:val="32"/>
          <w:szCs w:val="32"/>
        </w:rPr>
        <w:t>遇重大问题，及时报告省级医疗保障部门。</w:t>
      </w:r>
    </w:p>
    <w:p w14:paraId="1813ED9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黑体" w:hAnsi="黑体" w:eastAsia="黑体"/>
          <w:color w:val="auto"/>
          <w:sz w:val="32"/>
          <w:szCs w:val="32"/>
        </w:rPr>
      </w:pPr>
    </w:p>
    <w:p w14:paraId="1CD9CAF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 w:eastAsia="仿宋_GB2312"/>
          <w:color w:val="auto"/>
          <w:sz w:val="32"/>
          <w:szCs w:val="32"/>
        </w:rPr>
      </w:pPr>
      <w:r>
        <w:rPr>
          <w:rFonts w:hint="eastAsia" w:ascii="黑体" w:hAnsi="黑体" w:eastAsia="黑体"/>
          <w:color w:val="auto"/>
          <w:sz w:val="32"/>
          <w:szCs w:val="32"/>
        </w:rPr>
        <w:t>第</w:t>
      </w:r>
      <w:r>
        <w:rPr>
          <w:rFonts w:hint="eastAsia" w:ascii="黑体" w:hAnsi="黑体" w:eastAsia="黑体"/>
          <w:color w:val="auto"/>
          <w:sz w:val="32"/>
          <w:szCs w:val="32"/>
          <w:lang w:eastAsia="zh-CN"/>
        </w:rPr>
        <w:t>五</w:t>
      </w:r>
      <w:r>
        <w:rPr>
          <w:rFonts w:hint="eastAsia" w:ascii="黑体" w:hAnsi="黑体" w:eastAsia="黑体"/>
          <w:color w:val="auto"/>
          <w:sz w:val="32"/>
          <w:szCs w:val="32"/>
        </w:rPr>
        <w:t>章  附  则</w:t>
      </w:r>
    </w:p>
    <w:p w14:paraId="395801EB">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第</w:t>
      </w:r>
      <w:r>
        <w:rPr>
          <w:rFonts w:hint="eastAsia" w:ascii="仿宋_GB2312" w:hAnsi="仿宋" w:eastAsia="仿宋_GB2312"/>
          <w:color w:val="auto"/>
          <w:sz w:val="32"/>
          <w:szCs w:val="32"/>
          <w:lang w:val="en-US" w:eastAsia="zh-CN"/>
        </w:rPr>
        <w:t>二十一</w:t>
      </w:r>
      <w:r>
        <w:rPr>
          <w:rFonts w:hint="eastAsia" w:ascii="仿宋_GB2312" w:hAnsi="仿宋" w:eastAsia="仿宋_GB2312"/>
          <w:color w:val="auto"/>
          <w:sz w:val="32"/>
          <w:szCs w:val="32"/>
        </w:rPr>
        <w:t xml:space="preserve">条 </w:t>
      </w:r>
      <w:r>
        <w:rPr>
          <w:rFonts w:hint="eastAsia" w:ascii="仿宋_GB2312" w:hAnsi="仿宋" w:eastAsia="仿宋_GB2312"/>
          <w:color w:val="auto"/>
          <w:sz w:val="32"/>
          <w:szCs w:val="32"/>
          <w:lang w:eastAsia="zh-CN"/>
        </w:rPr>
        <w:t>首次目录制定，</w:t>
      </w:r>
      <w:r>
        <w:rPr>
          <w:rFonts w:hint="eastAsia" w:ascii="仿宋_GB2312" w:hAnsi="仿宋" w:eastAsia="仿宋_GB2312"/>
          <w:color w:val="auto"/>
          <w:sz w:val="32"/>
          <w:szCs w:val="32"/>
        </w:rPr>
        <w:t>原则上以各统筹区现行</w:t>
      </w:r>
      <w:r>
        <w:rPr>
          <w:rFonts w:hint="eastAsia" w:ascii="仿宋_GB2312" w:hAnsi="仿宋" w:eastAsia="仿宋_GB2312"/>
          <w:color w:val="auto"/>
          <w:sz w:val="32"/>
          <w:szCs w:val="32"/>
          <w:lang w:eastAsia="zh-CN"/>
        </w:rPr>
        <w:t>医用</w:t>
      </w:r>
      <w:r>
        <w:rPr>
          <w:rFonts w:hint="eastAsia" w:ascii="仿宋_GB2312" w:hAnsi="仿宋" w:eastAsia="仿宋_GB2312"/>
          <w:color w:val="auto"/>
          <w:sz w:val="32"/>
          <w:szCs w:val="32"/>
        </w:rPr>
        <w:t>耗材目录为基准，</w:t>
      </w:r>
      <w:r>
        <w:rPr>
          <w:rFonts w:hint="eastAsia" w:ascii="仿宋_GB2312" w:hAnsi="仿宋" w:eastAsia="仿宋_GB2312"/>
          <w:color w:val="auto"/>
          <w:sz w:val="32"/>
          <w:szCs w:val="32"/>
          <w:lang w:eastAsia="zh-CN"/>
        </w:rPr>
        <w:t>由省级医疗保障部门</w:t>
      </w:r>
      <w:r>
        <w:rPr>
          <w:rFonts w:hint="eastAsia" w:ascii="仿宋_GB2312" w:hAnsi="仿宋" w:eastAsia="仿宋_GB2312"/>
          <w:color w:val="auto"/>
          <w:sz w:val="32"/>
          <w:szCs w:val="32"/>
        </w:rPr>
        <w:t>组织专家评审确定《基本医保医用耗材目录》</w:t>
      </w:r>
      <w:r>
        <w:rPr>
          <w:rFonts w:hint="eastAsia" w:ascii="仿宋_GB2312" w:hAnsi="仿宋" w:eastAsia="仿宋_GB2312"/>
          <w:color w:val="auto"/>
          <w:sz w:val="32"/>
          <w:szCs w:val="32"/>
          <w:lang w:eastAsia="zh-CN"/>
        </w:rPr>
        <w:t>，</w:t>
      </w:r>
      <w:r>
        <w:rPr>
          <w:rFonts w:hint="eastAsia" w:ascii="Times New Roman" w:hAnsi="Times New Roman" w:eastAsia="仿宋_GB2312" w:cs="Times New Roman"/>
          <w:bCs w:val="0"/>
          <w:kern w:val="2"/>
          <w:sz w:val="32"/>
          <w:szCs w:val="32"/>
          <w:lang w:eastAsia="zh-CN"/>
        </w:rPr>
        <w:t>报</w:t>
      </w:r>
      <w:r>
        <w:rPr>
          <w:rFonts w:hint="eastAsia" w:ascii="Times New Roman" w:hAnsi="Times New Roman" w:eastAsia="仿宋_GB2312" w:cs="Times New Roman"/>
          <w:bCs w:val="0"/>
          <w:kern w:val="2"/>
          <w:sz w:val="32"/>
          <w:szCs w:val="32"/>
        </w:rPr>
        <w:t>国家</w:t>
      </w:r>
      <w:r>
        <w:rPr>
          <w:rFonts w:hint="eastAsia" w:ascii="Times New Roman" w:hAnsi="Times New Roman" w:eastAsia="仿宋_GB2312" w:cs="Times New Roman"/>
          <w:bCs w:val="0"/>
          <w:kern w:val="2"/>
          <w:sz w:val="32"/>
          <w:szCs w:val="32"/>
          <w:lang w:eastAsia="zh-CN"/>
        </w:rPr>
        <w:t>医疗保障行政部门</w:t>
      </w:r>
      <w:r>
        <w:rPr>
          <w:rFonts w:hint="eastAsia" w:ascii="Times New Roman" w:hAnsi="Times New Roman" w:eastAsia="仿宋_GB2312" w:cs="Times New Roman"/>
          <w:bCs w:val="0"/>
          <w:kern w:val="2"/>
          <w:sz w:val="32"/>
          <w:szCs w:val="32"/>
        </w:rPr>
        <w:t>备案通过后按</w:t>
      </w:r>
      <w:r>
        <w:rPr>
          <w:rFonts w:hint="eastAsia" w:ascii="Times New Roman" w:hAnsi="Times New Roman" w:eastAsia="仿宋_GB2312" w:cs="Times New Roman"/>
          <w:bCs w:val="0"/>
          <w:kern w:val="2"/>
          <w:sz w:val="32"/>
          <w:szCs w:val="32"/>
          <w:lang w:eastAsia="zh-CN"/>
        </w:rPr>
        <w:t>程序</w:t>
      </w:r>
      <w:r>
        <w:rPr>
          <w:rFonts w:hint="eastAsia" w:ascii="Times New Roman" w:hAnsi="Times New Roman" w:eastAsia="仿宋_GB2312" w:cs="Times New Roman"/>
          <w:bCs w:val="0"/>
          <w:kern w:val="2"/>
          <w:sz w:val="32"/>
          <w:szCs w:val="32"/>
        </w:rPr>
        <w:t>发布</w:t>
      </w:r>
      <w:r>
        <w:rPr>
          <w:rFonts w:hint="eastAsia" w:ascii="Times New Roman" w:hAnsi="Times New Roman" w:eastAsia="仿宋_GB2312" w:cs="Times New Roman"/>
          <w:bCs w:val="0"/>
          <w:kern w:val="2"/>
          <w:sz w:val="32"/>
          <w:szCs w:val="32"/>
          <w:lang w:eastAsia="zh-CN"/>
        </w:rPr>
        <w:t>，</w:t>
      </w:r>
      <w:r>
        <w:rPr>
          <w:rFonts w:hint="eastAsia" w:ascii="仿宋_GB2312" w:hAnsi="仿宋" w:eastAsia="仿宋_GB2312"/>
          <w:color w:val="auto"/>
          <w:sz w:val="32"/>
          <w:szCs w:val="32"/>
          <w:lang w:eastAsia="zh-CN"/>
        </w:rPr>
        <w:t>无需</w:t>
      </w:r>
      <w:r>
        <w:rPr>
          <w:rFonts w:hint="eastAsia" w:ascii="仿宋_GB2312" w:hAnsi="仿宋" w:eastAsia="仿宋_GB2312"/>
          <w:color w:val="auto"/>
          <w:sz w:val="32"/>
          <w:szCs w:val="32"/>
        </w:rPr>
        <w:t>统筹区</w:t>
      </w:r>
      <w:r>
        <w:rPr>
          <w:rFonts w:hint="eastAsia" w:ascii="仿宋_GB2312" w:hAnsi="仿宋" w:eastAsia="仿宋_GB2312"/>
          <w:color w:val="auto"/>
          <w:sz w:val="32"/>
          <w:szCs w:val="32"/>
          <w:lang w:eastAsia="zh-CN"/>
        </w:rPr>
        <w:t>申报推荐。</w:t>
      </w:r>
    </w:p>
    <w:p w14:paraId="0980CE7A">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第</w:t>
      </w:r>
      <w:r>
        <w:rPr>
          <w:rFonts w:hint="eastAsia" w:ascii="仿宋_GB2312" w:hAnsi="仿宋" w:eastAsia="仿宋_GB2312"/>
          <w:color w:val="auto"/>
          <w:sz w:val="32"/>
          <w:szCs w:val="32"/>
          <w:lang w:val="en-US" w:eastAsia="zh-CN"/>
        </w:rPr>
        <w:t>二十二</w:t>
      </w:r>
      <w:r>
        <w:rPr>
          <w:rFonts w:hint="eastAsia" w:ascii="仿宋_GB2312" w:hAnsi="仿宋" w:eastAsia="仿宋_GB2312"/>
          <w:color w:val="auto"/>
          <w:sz w:val="32"/>
          <w:szCs w:val="32"/>
        </w:rPr>
        <w:t>条 发生严重危害群众健康的公共卫生事件或紧急情况时，省</w:t>
      </w:r>
      <w:r>
        <w:rPr>
          <w:rFonts w:hint="eastAsia" w:ascii="仿宋_GB2312" w:hAnsi="仿宋" w:eastAsia="仿宋_GB2312"/>
          <w:color w:val="auto"/>
          <w:sz w:val="32"/>
          <w:szCs w:val="32"/>
          <w:lang w:eastAsia="zh-CN"/>
        </w:rPr>
        <w:t>级</w:t>
      </w:r>
      <w:r>
        <w:rPr>
          <w:rFonts w:hint="eastAsia" w:ascii="仿宋_GB2312" w:hAnsi="仿宋" w:eastAsia="仿宋_GB2312"/>
          <w:color w:val="auto"/>
          <w:sz w:val="32"/>
          <w:szCs w:val="32"/>
        </w:rPr>
        <w:t>医疗保障部门可按程序临时调整医保医用耗材目录范围。</w:t>
      </w:r>
    </w:p>
    <w:p w14:paraId="5DE9AF2F">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第</w:t>
      </w:r>
      <w:r>
        <w:rPr>
          <w:rFonts w:hint="eastAsia" w:ascii="仿宋_GB2312" w:hAnsi="仿宋" w:eastAsia="仿宋_GB2312"/>
          <w:color w:val="auto"/>
          <w:sz w:val="32"/>
          <w:szCs w:val="32"/>
          <w:lang w:val="en-US" w:eastAsia="zh-CN"/>
        </w:rPr>
        <w:t>二十三</w:t>
      </w:r>
      <w:r>
        <w:rPr>
          <w:rFonts w:hint="eastAsia" w:ascii="仿宋_GB2312" w:hAnsi="仿宋" w:eastAsia="仿宋_GB2312"/>
          <w:color w:val="auto"/>
          <w:sz w:val="32"/>
          <w:szCs w:val="32"/>
        </w:rPr>
        <w:t>条 本办法由省</w:t>
      </w:r>
      <w:r>
        <w:rPr>
          <w:rFonts w:hint="eastAsia" w:ascii="仿宋_GB2312" w:hAnsi="仿宋" w:eastAsia="仿宋_GB2312"/>
          <w:color w:val="auto"/>
          <w:sz w:val="32"/>
          <w:szCs w:val="32"/>
          <w:lang w:eastAsia="zh-CN"/>
        </w:rPr>
        <w:t>级</w:t>
      </w:r>
      <w:r>
        <w:rPr>
          <w:rFonts w:hint="eastAsia" w:ascii="仿宋_GB2312" w:hAnsi="仿宋" w:eastAsia="仿宋_GB2312"/>
          <w:color w:val="auto"/>
          <w:sz w:val="32"/>
          <w:szCs w:val="32"/>
        </w:rPr>
        <w:t xml:space="preserve">医疗保障部门负责解释，自 </w:t>
      </w:r>
      <w:r>
        <w:rPr>
          <w:rFonts w:ascii="仿宋_GB2312" w:hAnsi="仿宋" w:eastAsia="仿宋_GB2312"/>
          <w:color w:val="auto"/>
          <w:sz w:val="32"/>
          <w:szCs w:val="32"/>
        </w:rPr>
        <w:t xml:space="preserve"> </w:t>
      </w:r>
      <w:r>
        <w:rPr>
          <w:rFonts w:hint="eastAsia" w:ascii="仿宋_GB2312" w:hAnsi="仿宋" w:eastAsia="仿宋_GB2312"/>
          <w:color w:val="auto"/>
          <w:sz w:val="32"/>
          <w:szCs w:val="32"/>
        </w:rPr>
        <w:t xml:space="preserve">年 </w:t>
      </w:r>
      <w:r>
        <w:rPr>
          <w:rFonts w:ascii="仿宋_GB2312" w:hAnsi="仿宋" w:eastAsia="仿宋_GB2312"/>
          <w:color w:val="auto"/>
          <w:sz w:val="32"/>
          <w:szCs w:val="32"/>
        </w:rPr>
        <w:t xml:space="preserve"> </w:t>
      </w:r>
      <w:r>
        <w:rPr>
          <w:rFonts w:hint="eastAsia" w:ascii="仿宋_GB2312" w:hAnsi="仿宋" w:eastAsia="仿宋_GB2312"/>
          <w:color w:val="auto"/>
          <w:sz w:val="32"/>
          <w:szCs w:val="32"/>
        </w:rPr>
        <w:t>月  日起施行。</w:t>
      </w:r>
    </w:p>
    <w:p w14:paraId="5DAB5F43">
      <w:pPr>
        <w:pStyle w:val="2"/>
        <w:rPr>
          <w:rFonts w:hint="eastAsia" w:ascii="仿宋_GB2312" w:hAnsi="仿宋" w:eastAsia="仿宋_GB2312"/>
          <w:color w:val="auto"/>
          <w:sz w:val="32"/>
          <w:szCs w:val="32"/>
        </w:rPr>
      </w:pPr>
    </w:p>
    <w:p w14:paraId="56D30388">
      <w:pPr>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lang w:eastAsia="zh-CN"/>
        </w:rPr>
        <w:t>附件：</w:t>
      </w:r>
      <w:r>
        <w:rPr>
          <w:rFonts w:hint="eastAsia" w:ascii="仿宋_GB2312" w:hAnsi="仿宋" w:eastAsia="仿宋_GB2312"/>
          <w:color w:val="auto"/>
          <w:sz w:val="32"/>
          <w:szCs w:val="32"/>
          <w:lang w:val="en-US" w:eastAsia="zh-CN"/>
        </w:rPr>
        <w:t>1.</w:t>
      </w:r>
      <w:r>
        <w:rPr>
          <w:rFonts w:hint="eastAsia" w:ascii="仿宋_GB2312" w:hAnsi="仿宋" w:eastAsia="仿宋_GB2312"/>
          <w:color w:val="auto"/>
          <w:sz w:val="32"/>
          <w:szCs w:val="32"/>
          <w:lang w:eastAsia="zh-CN"/>
        </w:rPr>
        <w:t>拟</w:t>
      </w:r>
      <w:r>
        <w:rPr>
          <w:rFonts w:hint="eastAsia" w:ascii="仿宋_GB2312" w:hAnsi="仿宋" w:eastAsia="仿宋_GB2312"/>
          <w:color w:val="auto"/>
          <w:sz w:val="32"/>
          <w:szCs w:val="32"/>
        </w:rPr>
        <w:t>纳入基本医疗保险支付范围</w:t>
      </w:r>
      <w:r>
        <w:rPr>
          <w:rFonts w:hint="eastAsia" w:ascii="仿宋_GB2312" w:hAnsi="仿宋" w:eastAsia="仿宋_GB2312"/>
          <w:color w:val="auto"/>
          <w:sz w:val="32"/>
          <w:szCs w:val="32"/>
          <w:lang w:val="en-US" w:eastAsia="zh-CN"/>
        </w:rPr>
        <w:t>医用耗材</w:t>
      </w:r>
      <w:r>
        <w:rPr>
          <w:rFonts w:hint="eastAsia" w:ascii="仿宋_GB2312" w:hAnsi="仿宋" w:eastAsia="仿宋_GB2312"/>
          <w:color w:val="auto"/>
          <w:sz w:val="32"/>
          <w:szCs w:val="32"/>
        </w:rPr>
        <w:t>申报表</w:t>
      </w:r>
    </w:p>
    <w:p w14:paraId="157B367E">
      <w:pPr>
        <w:ind w:left="1916" w:leftChars="760" w:hanging="320" w:hangingChars="100"/>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拟纳入基本医疗保险支付范围医用耗材推荐名单</w:t>
      </w:r>
    </w:p>
    <w:p w14:paraId="45E5434C">
      <w:pPr>
        <w:pStyle w:val="2"/>
        <w:rPr>
          <w:rFonts w:hint="eastAsia" w:ascii="仿宋_GB2312" w:hAnsi="仿宋" w:eastAsia="仿宋_GB2312"/>
          <w:color w:val="auto"/>
          <w:sz w:val="32"/>
          <w:szCs w:val="32"/>
        </w:rPr>
      </w:pPr>
    </w:p>
    <w:p w14:paraId="6D6EFC73">
      <w:pPr>
        <w:rPr>
          <w:rFonts w:hint="eastAsia" w:ascii="仿宋_GB2312" w:hAnsi="仿宋" w:eastAsia="仿宋_GB2312"/>
          <w:color w:val="auto"/>
          <w:sz w:val="32"/>
          <w:szCs w:val="32"/>
        </w:rPr>
        <w:sectPr>
          <w:footerReference r:id="rId3" w:type="default"/>
          <w:pgSz w:w="11906" w:h="16838"/>
          <w:pgMar w:top="1440" w:right="1800" w:bottom="1440" w:left="1800" w:header="851" w:footer="992" w:gutter="0"/>
          <w:cols w:space="425" w:num="1"/>
          <w:docGrid w:type="lines" w:linePitch="312" w:charSpace="0"/>
        </w:sectPr>
      </w:pPr>
    </w:p>
    <w:p w14:paraId="09E457C6">
      <w:pPr>
        <w:keepNext w:val="0"/>
        <w:keepLines w:val="0"/>
        <w:pageBreakBefore w:val="0"/>
        <w:widowControl w:val="0"/>
        <w:kinsoku/>
        <w:wordWrap/>
        <w:overflowPunct/>
        <w:topLinePunct w:val="0"/>
        <w:autoSpaceDE/>
        <w:autoSpaceDN/>
        <w:bidi w:val="0"/>
        <w:rPr>
          <w:rFonts w:hint="eastAsia" w:ascii="黑体" w:hAnsi="黑体" w:eastAsia="黑体" w:cs="黑体"/>
          <w:sz w:val="32"/>
          <w:szCs w:val="32"/>
        </w:rPr>
      </w:pPr>
      <w:r>
        <w:rPr>
          <w:rFonts w:hint="eastAsia" w:ascii="黑体" w:hAnsi="黑体" w:eastAsia="黑体" w:cs="黑体"/>
          <w:sz w:val="32"/>
          <w:szCs w:val="32"/>
        </w:rPr>
        <w:t>附件1</w:t>
      </w:r>
    </w:p>
    <w:p w14:paraId="34AFA381">
      <w:pPr>
        <w:pStyle w:val="5"/>
        <w:keepNext w:val="0"/>
        <w:keepLines w:val="0"/>
        <w:pageBreakBefore w:val="0"/>
        <w:widowControl w:val="0"/>
        <w:kinsoku/>
        <w:wordWrap/>
        <w:overflowPunct/>
        <w:topLinePunct w:val="0"/>
        <w:autoSpaceDE/>
        <w:autoSpaceDN/>
        <w:bidi w:val="0"/>
        <w:spacing w:line="600" w:lineRule="exact"/>
        <w:jc w:val="center"/>
        <w:rPr>
          <w:rFonts w:hint="eastAsia" w:ascii="方正小标宋简体" w:hAnsi="方正小标宋简体" w:eastAsia="方正小标宋简体" w:cs="方正小标宋简体"/>
          <w:sz w:val="44"/>
          <w:szCs w:val="36"/>
          <w:lang w:eastAsia="zh-CN"/>
        </w:rPr>
      </w:pPr>
      <w:r>
        <w:rPr>
          <w:rFonts w:hint="eastAsia" w:ascii="方正小标宋简体" w:hAnsi="方正小标宋简体" w:eastAsia="方正小标宋简体" w:cs="方正小标宋简体"/>
          <w:sz w:val="44"/>
          <w:szCs w:val="36"/>
          <w:lang w:eastAsia="zh-CN"/>
        </w:rPr>
        <w:t>拟</w:t>
      </w:r>
      <w:r>
        <w:rPr>
          <w:rFonts w:hint="eastAsia" w:ascii="方正小标宋简体" w:hAnsi="方正小标宋简体" w:eastAsia="方正小标宋简体" w:cs="方正小标宋简体"/>
          <w:sz w:val="44"/>
          <w:szCs w:val="36"/>
        </w:rPr>
        <w:t>纳入基本医疗保险支付范围</w:t>
      </w:r>
      <w:r>
        <w:rPr>
          <w:rFonts w:hint="eastAsia" w:ascii="方正小标宋简体" w:hAnsi="方正小标宋简体" w:eastAsia="方正小标宋简体" w:cs="方正小标宋简体"/>
          <w:sz w:val="44"/>
          <w:szCs w:val="36"/>
          <w:lang w:val="en-US" w:eastAsia="zh-CN"/>
        </w:rPr>
        <w:t>医用耗材</w:t>
      </w:r>
      <w:r>
        <w:rPr>
          <w:rFonts w:hint="eastAsia" w:ascii="方正小标宋简体" w:hAnsi="方正小标宋简体" w:eastAsia="方正小标宋简体" w:cs="方正小标宋简体"/>
          <w:sz w:val="44"/>
          <w:szCs w:val="36"/>
        </w:rPr>
        <w:t>申报表</w:t>
      </w:r>
    </w:p>
    <w:p w14:paraId="418CBABE">
      <w:pPr>
        <w:keepNext w:val="0"/>
        <w:keepLines w:val="0"/>
        <w:pageBreakBefore w:val="0"/>
        <w:widowControl w:val="0"/>
        <w:kinsoku/>
        <w:wordWrap/>
        <w:overflowPunct/>
        <w:topLinePunct w:val="0"/>
        <w:autoSpaceDE/>
        <w:autoSpaceDN/>
        <w:bidi w:val="0"/>
        <w:adjustRightInd w:val="0"/>
        <w:snapToGrid w:val="0"/>
        <w:spacing w:line="360" w:lineRule="auto"/>
        <w:jc w:val="left"/>
        <w:rPr>
          <w:rFonts w:hint="default" w:ascii="Times New Roman" w:hAnsi="Times New Roman" w:eastAsia="仿宋_GB2312"/>
          <w:bCs/>
          <w:sz w:val="32"/>
          <w:szCs w:val="32"/>
          <w:lang w:val="en-US" w:eastAsia="zh-CN"/>
        </w:rPr>
      </w:pPr>
      <w:r>
        <w:rPr>
          <w:rFonts w:hint="eastAsia" w:ascii="Times New Roman" w:hAnsi="Times New Roman" w:eastAsia="仿宋_GB2312"/>
          <w:sz w:val="28"/>
          <w:szCs w:val="28"/>
          <w:lang w:val="en-US" w:eastAsia="zh-CN"/>
        </w:rPr>
        <w:t>医疗机构名称</w:t>
      </w:r>
      <w:r>
        <w:rPr>
          <w:rFonts w:hint="eastAsia" w:ascii="Times New Roman" w:hAnsi="Times New Roman" w:eastAsia="仿宋_GB2312"/>
          <w:sz w:val="28"/>
          <w:szCs w:val="28"/>
        </w:rPr>
        <w:t xml:space="preserve">（加盖公章）：                                </w:t>
      </w:r>
      <w:r>
        <w:rPr>
          <w:rFonts w:hint="eastAsia" w:ascii="Times New Roman" w:hAnsi="Times New Roman" w:eastAsia="仿宋_GB2312"/>
          <w:sz w:val="28"/>
          <w:szCs w:val="28"/>
          <w:lang w:val="en-US" w:eastAsia="zh-CN"/>
        </w:rPr>
        <w:t xml:space="preserve">              申报日期： 年  月   日</w:t>
      </w:r>
    </w:p>
    <w:tbl>
      <w:tblPr>
        <w:tblStyle w:val="11"/>
        <w:tblpPr w:leftFromText="180" w:rightFromText="180" w:vertAnchor="text" w:horzAnchor="page" w:tblpXSpec="center" w:tblpY="135"/>
        <w:tblOverlap w:val="never"/>
        <w:tblW w:w="5124" w:type="pct"/>
        <w:jc w:val="center"/>
        <w:tblLayout w:type="autofit"/>
        <w:tblCellMar>
          <w:top w:w="0" w:type="dxa"/>
          <w:left w:w="0" w:type="dxa"/>
          <w:bottom w:w="0" w:type="dxa"/>
          <w:right w:w="0" w:type="dxa"/>
        </w:tblCellMar>
      </w:tblPr>
      <w:tblGrid>
        <w:gridCol w:w="929"/>
        <w:gridCol w:w="1118"/>
        <w:gridCol w:w="1061"/>
        <w:gridCol w:w="978"/>
        <w:gridCol w:w="1095"/>
        <w:gridCol w:w="1230"/>
        <w:gridCol w:w="960"/>
        <w:gridCol w:w="834"/>
        <w:gridCol w:w="737"/>
        <w:gridCol w:w="1003"/>
        <w:gridCol w:w="788"/>
        <w:gridCol w:w="989"/>
        <w:gridCol w:w="1184"/>
        <w:gridCol w:w="1408"/>
      </w:tblGrid>
      <w:tr w14:paraId="777FAC01">
        <w:tblPrEx>
          <w:tblCellMar>
            <w:top w:w="0" w:type="dxa"/>
            <w:left w:w="0" w:type="dxa"/>
            <w:bottom w:w="0" w:type="dxa"/>
            <w:right w:w="0" w:type="dxa"/>
          </w:tblCellMar>
        </w:tblPrEx>
        <w:trPr>
          <w:trHeight w:val="820" w:hRule="atLeast"/>
          <w:jc w:val="center"/>
        </w:trPr>
        <w:tc>
          <w:tcPr>
            <w:tcW w:w="324"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6F890288">
            <w:pPr>
              <w:keepNext w:val="0"/>
              <w:keepLines w:val="0"/>
              <w:pageBreakBefore w:val="0"/>
              <w:widowControl w:val="0"/>
              <w:kinsoku/>
              <w:wordWrap/>
              <w:overflowPunct/>
              <w:topLinePunct w:val="0"/>
              <w:autoSpaceDE/>
              <w:autoSpaceDN/>
              <w:bidi w:val="0"/>
              <w:spacing w:line="300" w:lineRule="atLeast"/>
              <w:jc w:val="center"/>
              <w:textAlignment w:val="center"/>
              <w:rPr>
                <w:rFonts w:ascii="Times New Roman" w:hAnsi="Times New Roman" w:eastAsia="仿宋_GB2312"/>
                <w:b/>
                <w:bCs/>
                <w:sz w:val="24"/>
                <w:szCs w:val="24"/>
              </w:rPr>
            </w:pPr>
            <w:r>
              <w:rPr>
                <w:rFonts w:hint="eastAsia" w:ascii="Times New Roman" w:hAnsi="Times New Roman" w:eastAsia="仿宋_GB2312"/>
                <w:b/>
                <w:bCs/>
                <w:sz w:val="24"/>
                <w:szCs w:val="24"/>
              </w:rPr>
              <w:t>序号</w:t>
            </w:r>
          </w:p>
        </w:tc>
        <w:tc>
          <w:tcPr>
            <w:tcW w:w="390"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68F4F9AF">
            <w:pPr>
              <w:keepNext w:val="0"/>
              <w:keepLines w:val="0"/>
              <w:pageBreakBefore w:val="0"/>
              <w:widowControl w:val="0"/>
              <w:kinsoku/>
              <w:wordWrap/>
              <w:overflowPunct/>
              <w:topLinePunct w:val="0"/>
              <w:autoSpaceDE/>
              <w:autoSpaceDN/>
              <w:bidi w:val="0"/>
              <w:spacing w:line="300" w:lineRule="atLeast"/>
              <w:jc w:val="center"/>
              <w:textAlignment w:val="center"/>
              <w:rPr>
                <w:rFonts w:hint="eastAsia" w:ascii="Times New Roman" w:hAnsi="Times New Roman" w:eastAsia="仿宋_GB2312"/>
                <w:b/>
                <w:bCs/>
                <w:sz w:val="24"/>
                <w:szCs w:val="24"/>
              </w:rPr>
            </w:pPr>
            <w:r>
              <w:rPr>
                <w:rFonts w:hint="eastAsia" w:ascii="Times New Roman" w:hAnsi="Times New Roman" w:eastAsia="仿宋_GB2312"/>
                <w:b/>
                <w:bCs/>
                <w:sz w:val="24"/>
                <w:szCs w:val="24"/>
                <w:lang w:val="en-US" w:eastAsia="zh-CN"/>
              </w:rPr>
              <w:t>国家医用耗材代码</w:t>
            </w:r>
          </w:p>
        </w:tc>
        <w:tc>
          <w:tcPr>
            <w:tcW w:w="370"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361F58DA">
            <w:pPr>
              <w:keepNext w:val="0"/>
              <w:keepLines w:val="0"/>
              <w:pageBreakBefore w:val="0"/>
              <w:widowControl w:val="0"/>
              <w:kinsoku/>
              <w:wordWrap/>
              <w:overflowPunct/>
              <w:topLinePunct w:val="0"/>
              <w:autoSpaceDE/>
              <w:autoSpaceDN/>
              <w:bidi w:val="0"/>
              <w:spacing w:line="300" w:lineRule="atLeast"/>
              <w:jc w:val="center"/>
              <w:textAlignment w:val="center"/>
              <w:rPr>
                <w:rFonts w:hint="eastAsia" w:ascii="Times New Roman" w:hAnsi="Times New Roman" w:eastAsia="仿宋_GB2312" w:cs="Times New Roman"/>
                <w:b/>
                <w:bCs/>
                <w:color w:val="auto"/>
                <w:kern w:val="2"/>
                <w:sz w:val="24"/>
                <w:szCs w:val="24"/>
                <w:lang w:val="en-US" w:eastAsia="zh-CN" w:bidi="ar-SA"/>
              </w:rPr>
            </w:pPr>
            <w:r>
              <w:rPr>
                <w:rFonts w:hint="eastAsia" w:ascii="Times New Roman" w:hAnsi="Times New Roman" w:eastAsia="仿宋_GB2312" w:cs="Times New Roman"/>
                <w:b/>
                <w:bCs/>
                <w:color w:val="auto"/>
                <w:kern w:val="2"/>
                <w:sz w:val="24"/>
                <w:szCs w:val="24"/>
                <w:lang w:val="en-US" w:eastAsia="zh-CN" w:bidi="ar-SA"/>
              </w:rPr>
              <w:t>单件产品名称</w:t>
            </w:r>
          </w:p>
        </w:tc>
        <w:tc>
          <w:tcPr>
            <w:tcW w:w="341"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539CAC30">
            <w:pPr>
              <w:keepNext w:val="0"/>
              <w:keepLines w:val="0"/>
              <w:pageBreakBefore w:val="0"/>
              <w:widowControl w:val="0"/>
              <w:kinsoku/>
              <w:wordWrap/>
              <w:overflowPunct/>
              <w:topLinePunct w:val="0"/>
              <w:autoSpaceDE/>
              <w:autoSpaceDN/>
              <w:bidi w:val="0"/>
              <w:spacing w:line="300" w:lineRule="atLeast"/>
              <w:jc w:val="center"/>
              <w:textAlignment w:val="center"/>
              <w:rPr>
                <w:rFonts w:hint="eastAsia" w:ascii="Times New Roman" w:hAnsi="Times New Roman" w:eastAsia="仿宋_GB2312" w:cs="Times New Roman"/>
                <w:b/>
                <w:bCs/>
                <w:color w:val="auto"/>
                <w:kern w:val="2"/>
                <w:sz w:val="24"/>
                <w:szCs w:val="24"/>
                <w:lang w:val="en-US" w:eastAsia="zh-CN" w:bidi="ar-SA"/>
              </w:rPr>
            </w:pPr>
            <w:r>
              <w:rPr>
                <w:rFonts w:hint="eastAsia" w:ascii="Times New Roman" w:hAnsi="Times New Roman" w:eastAsia="仿宋_GB2312"/>
                <w:b/>
                <w:bCs/>
                <w:sz w:val="24"/>
                <w:szCs w:val="24"/>
                <w:lang w:val="en-US" w:eastAsia="zh-CN"/>
              </w:rPr>
              <w:t>一级分类</w:t>
            </w:r>
            <w:r>
              <w:rPr>
                <w:rFonts w:hint="eastAsia" w:ascii="Times New Roman" w:hAnsi="Times New Roman" w:eastAsia="仿宋_GB2312"/>
                <w:b/>
                <w:bCs/>
                <w:sz w:val="24"/>
                <w:szCs w:val="24"/>
                <w:lang w:val="en-US" w:eastAsia="zh-CN"/>
              </w:rPr>
              <w:br w:type="textWrapping"/>
            </w:r>
            <w:r>
              <w:rPr>
                <w:rFonts w:hint="eastAsia" w:ascii="Times New Roman" w:hAnsi="Times New Roman" w:eastAsia="仿宋_GB2312"/>
                <w:b/>
                <w:bCs/>
                <w:sz w:val="24"/>
                <w:szCs w:val="24"/>
                <w:lang w:val="en-US" w:eastAsia="zh-CN"/>
              </w:rPr>
              <w:t>（学科、品类）</w:t>
            </w:r>
          </w:p>
        </w:tc>
        <w:tc>
          <w:tcPr>
            <w:tcW w:w="382"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2703B70A">
            <w:pPr>
              <w:keepNext w:val="0"/>
              <w:keepLines w:val="0"/>
              <w:pageBreakBefore w:val="0"/>
              <w:widowControl w:val="0"/>
              <w:kinsoku/>
              <w:wordWrap/>
              <w:overflowPunct/>
              <w:topLinePunct w:val="0"/>
              <w:autoSpaceDE/>
              <w:autoSpaceDN/>
              <w:bidi w:val="0"/>
              <w:spacing w:line="300" w:lineRule="atLeast"/>
              <w:jc w:val="center"/>
              <w:textAlignment w:val="center"/>
              <w:rPr>
                <w:rFonts w:hint="eastAsia" w:ascii="Times New Roman" w:hAnsi="Times New Roman" w:eastAsia="仿宋_GB2312" w:cs="Times New Roman"/>
                <w:b/>
                <w:bCs/>
                <w:color w:val="auto"/>
                <w:kern w:val="2"/>
                <w:sz w:val="24"/>
                <w:szCs w:val="24"/>
                <w:lang w:val="en-US" w:eastAsia="zh-CN" w:bidi="ar-SA"/>
              </w:rPr>
            </w:pPr>
            <w:r>
              <w:rPr>
                <w:rFonts w:hint="eastAsia" w:ascii="Times New Roman" w:hAnsi="Times New Roman" w:eastAsia="仿宋_GB2312"/>
                <w:b/>
                <w:bCs/>
                <w:sz w:val="24"/>
                <w:szCs w:val="24"/>
                <w:lang w:val="en-US" w:eastAsia="zh-CN"/>
              </w:rPr>
              <w:t>二级分类</w:t>
            </w:r>
            <w:r>
              <w:rPr>
                <w:rFonts w:hint="eastAsia" w:ascii="Times New Roman" w:hAnsi="Times New Roman" w:eastAsia="仿宋_GB2312"/>
                <w:b/>
                <w:bCs/>
                <w:sz w:val="24"/>
                <w:szCs w:val="24"/>
                <w:lang w:val="en-US" w:eastAsia="zh-CN"/>
              </w:rPr>
              <w:br w:type="textWrapping"/>
            </w:r>
            <w:r>
              <w:rPr>
                <w:rFonts w:hint="eastAsia" w:ascii="Times New Roman" w:hAnsi="Times New Roman" w:eastAsia="仿宋_GB2312"/>
                <w:b/>
                <w:bCs/>
                <w:sz w:val="24"/>
                <w:szCs w:val="24"/>
                <w:lang w:val="en-US" w:eastAsia="zh-CN"/>
              </w:rPr>
              <w:t>（用途、品目）</w:t>
            </w:r>
          </w:p>
        </w:tc>
        <w:tc>
          <w:tcPr>
            <w:tcW w:w="429"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71C3B2AC">
            <w:pPr>
              <w:keepNext w:val="0"/>
              <w:keepLines w:val="0"/>
              <w:pageBreakBefore w:val="0"/>
              <w:widowControl w:val="0"/>
              <w:kinsoku/>
              <w:wordWrap/>
              <w:overflowPunct/>
              <w:topLinePunct w:val="0"/>
              <w:autoSpaceDE/>
              <w:autoSpaceDN/>
              <w:bidi w:val="0"/>
              <w:spacing w:line="300" w:lineRule="atLeast"/>
              <w:jc w:val="center"/>
              <w:textAlignment w:val="center"/>
              <w:rPr>
                <w:rFonts w:hint="eastAsia" w:ascii="Times New Roman" w:hAnsi="Times New Roman" w:eastAsia="仿宋_GB2312" w:cs="Times New Roman"/>
                <w:b/>
                <w:bCs/>
                <w:color w:val="auto"/>
                <w:kern w:val="2"/>
                <w:sz w:val="24"/>
                <w:szCs w:val="24"/>
                <w:lang w:val="en-US" w:eastAsia="zh-CN" w:bidi="ar-SA"/>
              </w:rPr>
            </w:pPr>
            <w:r>
              <w:rPr>
                <w:rFonts w:hint="eastAsia" w:ascii="Times New Roman" w:hAnsi="Times New Roman" w:eastAsia="仿宋_GB2312"/>
                <w:b/>
                <w:bCs/>
                <w:sz w:val="24"/>
                <w:szCs w:val="24"/>
                <w:lang w:val="en-US" w:eastAsia="zh-CN"/>
              </w:rPr>
              <w:t>三级分类</w:t>
            </w:r>
            <w:r>
              <w:rPr>
                <w:rFonts w:hint="eastAsia" w:ascii="Times New Roman" w:hAnsi="Times New Roman" w:eastAsia="仿宋_GB2312"/>
                <w:b/>
                <w:bCs/>
                <w:sz w:val="24"/>
                <w:szCs w:val="24"/>
                <w:lang w:val="en-US" w:eastAsia="zh-CN"/>
              </w:rPr>
              <w:br w:type="textWrapping"/>
            </w:r>
            <w:r>
              <w:rPr>
                <w:rFonts w:hint="eastAsia" w:ascii="Times New Roman" w:hAnsi="Times New Roman" w:eastAsia="仿宋_GB2312"/>
                <w:b/>
                <w:bCs/>
                <w:sz w:val="24"/>
                <w:szCs w:val="24"/>
                <w:lang w:val="en-US" w:eastAsia="zh-CN"/>
              </w:rPr>
              <w:t>（部位、功能、品种）</w:t>
            </w:r>
          </w:p>
        </w:tc>
        <w:tc>
          <w:tcPr>
            <w:tcW w:w="335" w:type="pct"/>
            <w:tcBorders>
              <w:top w:val="single" w:color="auto" w:sz="4" w:space="0"/>
              <w:left w:val="single" w:color="auto" w:sz="4" w:space="0"/>
              <w:bottom w:val="single" w:color="auto" w:sz="4" w:space="0"/>
              <w:right w:val="single" w:color="auto" w:sz="4" w:space="0"/>
            </w:tcBorders>
            <w:noWrap w:val="0"/>
            <w:vAlign w:val="center"/>
          </w:tcPr>
          <w:p w14:paraId="2789466A">
            <w:pPr>
              <w:keepNext w:val="0"/>
              <w:keepLines w:val="0"/>
              <w:pageBreakBefore w:val="0"/>
              <w:widowControl w:val="0"/>
              <w:kinsoku/>
              <w:wordWrap/>
              <w:overflowPunct/>
              <w:topLinePunct w:val="0"/>
              <w:autoSpaceDE/>
              <w:autoSpaceDN/>
              <w:bidi w:val="0"/>
              <w:spacing w:line="300" w:lineRule="atLeast"/>
              <w:jc w:val="center"/>
              <w:textAlignment w:val="center"/>
              <w:rPr>
                <w:rFonts w:hint="default" w:ascii="Times New Roman" w:hAnsi="Times New Roman" w:eastAsia="仿宋_GB2312" w:cs="Times New Roman"/>
                <w:b/>
                <w:bCs/>
                <w:color w:val="auto"/>
                <w:kern w:val="2"/>
                <w:sz w:val="24"/>
                <w:szCs w:val="24"/>
                <w:lang w:val="en-US" w:eastAsia="zh-CN" w:bidi="ar-SA"/>
              </w:rPr>
            </w:pPr>
            <w:r>
              <w:rPr>
                <w:rFonts w:hint="eastAsia" w:ascii="Times New Roman" w:hAnsi="Times New Roman" w:eastAsia="仿宋_GB2312"/>
                <w:b/>
                <w:bCs/>
                <w:sz w:val="24"/>
                <w:szCs w:val="24"/>
                <w:lang w:val="en-US" w:eastAsia="zh-CN"/>
              </w:rPr>
              <w:t>医保通用名</w:t>
            </w:r>
          </w:p>
        </w:tc>
        <w:tc>
          <w:tcPr>
            <w:tcW w:w="291" w:type="pct"/>
            <w:tcBorders>
              <w:top w:val="single" w:color="auto" w:sz="4" w:space="0"/>
              <w:left w:val="single" w:color="auto" w:sz="4" w:space="0"/>
              <w:bottom w:val="single" w:color="auto" w:sz="4" w:space="0"/>
              <w:right w:val="single" w:color="auto" w:sz="4" w:space="0"/>
            </w:tcBorders>
            <w:noWrap w:val="0"/>
            <w:vAlign w:val="center"/>
          </w:tcPr>
          <w:p w14:paraId="4609AE34">
            <w:pPr>
              <w:keepNext w:val="0"/>
              <w:keepLines w:val="0"/>
              <w:pageBreakBefore w:val="0"/>
              <w:widowControl w:val="0"/>
              <w:kinsoku/>
              <w:wordWrap/>
              <w:overflowPunct/>
              <w:topLinePunct w:val="0"/>
              <w:autoSpaceDE/>
              <w:autoSpaceDN/>
              <w:bidi w:val="0"/>
              <w:spacing w:line="300" w:lineRule="atLeast"/>
              <w:jc w:val="center"/>
              <w:textAlignment w:val="center"/>
              <w:rPr>
                <w:rFonts w:hint="default" w:ascii="Times New Roman" w:hAnsi="Times New Roman" w:eastAsia="仿宋_GB2312"/>
                <w:b/>
                <w:bCs/>
                <w:sz w:val="24"/>
                <w:szCs w:val="24"/>
                <w:lang w:val="en-US" w:eastAsia="zh-CN"/>
              </w:rPr>
            </w:pPr>
            <w:r>
              <w:rPr>
                <w:rFonts w:hint="eastAsia" w:ascii="Times New Roman" w:hAnsi="Times New Roman" w:eastAsia="仿宋_GB2312"/>
                <w:b/>
                <w:bCs/>
                <w:sz w:val="24"/>
                <w:szCs w:val="24"/>
                <w:lang w:val="en-US" w:eastAsia="zh-CN"/>
              </w:rPr>
              <w:t>具体功能及特征</w:t>
            </w:r>
          </w:p>
        </w:tc>
        <w:tc>
          <w:tcPr>
            <w:tcW w:w="257" w:type="pct"/>
            <w:tcBorders>
              <w:top w:val="single" w:color="auto" w:sz="4" w:space="0"/>
              <w:left w:val="single" w:color="auto" w:sz="4" w:space="0"/>
              <w:bottom w:val="single" w:color="auto" w:sz="4" w:space="0"/>
              <w:right w:val="single" w:color="auto" w:sz="4" w:space="0"/>
            </w:tcBorders>
            <w:noWrap w:val="0"/>
            <w:vAlign w:val="center"/>
          </w:tcPr>
          <w:p w14:paraId="1A4D4DA6">
            <w:pPr>
              <w:keepNext w:val="0"/>
              <w:keepLines w:val="0"/>
              <w:pageBreakBefore w:val="0"/>
              <w:widowControl w:val="0"/>
              <w:kinsoku/>
              <w:wordWrap/>
              <w:overflowPunct/>
              <w:topLinePunct w:val="0"/>
              <w:autoSpaceDE/>
              <w:autoSpaceDN/>
              <w:bidi w:val="0"/>
              <w:spacing w:line="300" w:lineRule="atLeast"/>
              <w:jc w:val="center"/>
              <w:textAlignment w:val="center"/>
              <w:rPr>
                <w:rFonts w:hint="eastAsia" w:ascii="Times New Roman" w:hAnsi="Times New Roman" w:eastAsia="仿宋_GB2312"/>
                <w:b/>
                <w:bCs/>
                <w:sz w:val="24"/>
                <w:szCs w:val="24"/>
                <w:lang w:val="en-US" w:eastAsia="zh-CN"/>
              </w:rPr>
            </w:pPr>
            <w:r>
              <w:rPr>
                <w:rFonts w:hint="eastAsia" w:ascii="Times New Roman" w:hAnsi="Times New Roman" w:eastAsia="仿宋_GB2312"/>
                <w:b/>
                <w:bCs/>
                <w:sz w:val="24"/>
                <w:szCs w:val="24"/>
                <w:lang w:val="en-US" w:eastAsia="zh-CN"/>
              </w:rPr>
              <w:t>零售价（元）</w:t>
            </w:r>
          </w:p>
        </w:tc>
        <w:tc>
          <w:tcPr>
            <w:tcW w:w="350" w:type="pct"/>
            <w:tcBorders>
              <w:top w:val="single" w:color="auto" w:sz="4" w:space="0"/>
              <w:left w:val="single" w:color="auto" w:sz="4" w:space="0"/>
              <w:bottom w:val="single" w:color="auto" w:sz="4" w:space="0"/>
              <w:right w:val="single" w:color="auto" w:sz="4" w:space="0"/>
            </w:tcBorders>
            <w:noWrap w:val="0"/>
            <w:vAlign w:val="center"/>
          </w:tcPr>
          <w:p w14:paraId="2D6987FB">
            <w:pPr>
              <w:keepNext w:val="0"/>
              <w:keepLines w:val="0"/>
              <w:pageBreakBefore w:val="0"/>
              <w:widowControl w:val="0"/>
              <w:kinsoku/>
              <w:wordWrap/>
              <w:overflowPunct/>
              <w:topLinePunct w:val="0"/>
              <w:autoSpaceDE/>
              <w:autoSpaceDN/>
              <w:bidi w:val="0"/>
              <w:spacing w:line="300" w:lineRule="atLeast"/>
              <w:jc w:val="center"/>
              <w:textAlignment w:val="center"/>
              <w:rPr>
                <w:rFonts w:hint="eastAsia" w:ascii="Times New Roman" w:hAnsi="Times New Roman" w:eastAsia="仿宋_GB2312"/>
                <w:b/>
                <w:bCs/>
                <w:sz w:val="24"/>
                <w:szCs w:val="24"/>
                <w:lang w:val="en-US" w:eastAsia="zh-CN"/>
              </w:rPr>
            </w:pPr>
            <w:r>
              <w:rPr>
                <w:rFonts w:hint="eastAsia" w:ascii="Times New Roman" w:hAnsi="Times New Roman" w:eastAsia="仿宋_GB2312"/>
                <w:b/>
                <w:bCs/>
                <w:sz w:val="24"/>
                <w:szCs w:val="24"/>
                <w:lang w:val="en-US" w:eastAsia="zh-CN"/>
              </w:rPr>
              <w:t>临床开始使用时间</w:t>
            </w:r>
          </w:p>
        </w:tc>
        <w:tc>
          <w:tcPr>
            <w:tcW w:w="275" w:type="pct"/>
            <w:tcBorders>
              <w:top w:val="single" w:color="auto" w:sz="4" w:space="0"/>
              <w:left w:val="single" w:color="auto" w:sz="4" w:space="0"/>
              <w:bottom w:val="single" w:color="auto" w:sz="4" w:space="0"/>
              <w:right w:val="single" w:color="auto" w:sz="4" w:space="0"/>
            </w:tcBorders>
            <w:noWrap w:val="0"/>
            <w:vAlign w:val="center"/>
          </w:tcPr>
          <w:p w14:paraId="332BA806">
            <w:pPr>
              <w:keepNext w:val="0"/>
              <w:keepLines w:val="0"/>
              <w:pageBreakBefore w:val="0"/>
              <w:widowControl w:val="0"/>
              <w:kinsoku/>
              <w:wordWrap/>
              <w:overflowPunct/>
              <w:topLinePunct w:val="0"/>
              <w:autoSpaceDE/>
              <w:autoSpaceDN/>
              <w:bidi w:val="0"/>
              <w:spacing w:line="300" w:lineRule="atLeast"/>
              <w:jc w:val="center"/>
              <w:textAlignment w:val="center"/>
              <w:rPr>
                <w:rFonts w:hint="default" w:ascii="Times New Roman" w:hAnsi="Times New Roman" w:eastAsia="仿宋_GB2312"/>
                <w:b/>
                <w:bCs/>
                <w:sz w:val="24"/>
                <w:szCs w:val="24"/>
                <w:lang w:val="en-US" w:eastAsia="zh-CN"/>
              </w:rPr>
            </w:pPr>
            <w:r>
              <w:rPr>
                <w:rFonts w:hint="eastAsia" w:ascii="Times New Roman" w:hAnsi="Times New Roman" w:eastAsia="仿宋_GB2312"/>
                <w:b/>
                <w:bCs/>
                <w:sz w:val="24"/>
                <w:szCs w:val="24"/>
                <w:lang w:val="en-US" w:eastAsia="zh-CN"/>
              </w:rPr>
              <w:t>年使用人次</w:t>
            </w:r>
          </w:p>
        </w:tc>
        <w:tc>
          <w:tcPr>
            <w:tcW w:w="345" w:type="pct"/>
            <w:tcBorders>
              <w:top w:val="single" w:color="auto" w:sz="4" w:space="0"/>
              <w:left w:val="single" w:color="auto" w:sz="4" w:space="0"/>
              <w:bottom w:val="single" w:color="auto" w:sz="4" w:space="0"/>
              <w:right w:val="single" w:color="auto" w:sz="4" w:space="0"/>
            </w:tcBorders>
            <w:noWrap w:val="0"/>
            <w:vAlign w:val="center"/>
          </w:tcPr>
          <w:p w14:paraId="26DABE11">
            <w:pPr>
              <w:keepNext w:val="0"/>
              <w:keepLines w:val="0"/>
              <w:pageBreakBefore w:val="0"/>
              <w:widowControl w:val="0"/>
              <w:kinsoku/>
              <w:wordWrap/>
              <w:overflowPunct/>
              <w:topLinePunct w:val="0"/>
              <w:autoSpaceDE/>
              <w:autoSpaceDN/>
              <w:bidi w:val="0"/>
              <w:spacing w:line="300" w:lineRule="atLeast"/>
              <w:jc w:val="center"/>
              <w:textAlignment w:val="center"/>
              <w:rPr>
                <w:rFonts w:hint="eastAsia" w:ascii="Times New Roman" w:hAnsi="Times New Roman" w:eastAsia="仿宋_GB2312"/>
                <w:b/>
                <w:bCs/>
                <w:sz w:val="24"/>
                <w:szCs w:val="24"/>
                <w:lang w:val="en-US" w:eastAsia="zh-CN"/>
              </w:rPr>
            </w:pPr>
            <w:r>
              <w:rPr>
                <w:rFonts w:hint="eastAsia" w:ascii="Times New Roman" w:hAnsi="Times New Roman" w:eastAsia="仿宋_GB2312"/>
                <w:b/>
                <w:bCs/>
                <w:sz w:val="24"/>
                <w:szCs w:val="24"/>
                <w:lang w:val="en-US" w:eastAsia="zh-CN"/>
              </w:rPr>
              <w:t>年使用金额（万元）</w:t>
            </w:r>
          </w:p>
        </w:tc>
        <w:tc>
          <w:tcPr>
            <w:tcW w:w="413" w:type="pct"/>
            <w:tcBorders>
              <w:top w:val="single" w:color="auto" w:sz="4" w:space="0"/>
              <w:left w:val="single" w:color="auto" w:sz="4" w:space="0"/>
              <w:bottom w:val="single" w:color="auto" w:sz="4" w:space="0"/>
              <w:right w:val="single" w:color="auto" w:sz="4" w:space="0"/>
            </w:tcBorders>
            <w:noWrap w:val="0"/>
            <w:vAlign w:val="center"/>
          </w:tcPr>
          <w:p w14:paraId="4F4898ED">
            <w:pPr>
              <w:keepNext w:val="0"/>
              <w:keepLines w:val="0"/>
              <w:pageBreakBefore w:val="0"/>
              <w:widowControl w:val="0"/>
              <w:kinsoku/>
              <w:wordWrap/>
              <w:overflowPunct/>
              <w:topLinePunct w:val="0"/>
              <w:autoSpaceDE/>
              <w:autoSpaceDN/>
              <w:bidi w:val="0"/>
              <w:spacing w:line="300" w:lineRule="atLeast"/>
              <w:jc w:val="center"/>
              <w:textAlignment w:val="center"/>
              <w:rPr>
                <w:rFonts w:hint="default" w:ascii="Times New Roman" w:hAnsi="Times New Roman" w:eastAsia="仿宋_GB2312"/>
                <w:b/>
                <w:bCs/>
                <w:sz w:val="24"/>
                <w:szCs w:val="24"/>
                <w:lang w:val="en-US" w:eastAsia="zh-CN"/>
              </w:rPr>
            </w:pPr>
            <w:r>
              <w:rPr>
                <w:rFonts w:hint="eastAsia" w:ascii="Times New Roman" w:hAnsi="Times New Roman" w:eastAsia="仿宋_GB2312"/>
                <w:b/>
                <w:bCs/>
                <w:sz w:val="24"/>
                <w:szCs w:val="24"/>
                <w:lang w:val="en-US" w:eastAsia="zh-CN"/>
              </w:rPr>
              <w:t>批准文号/备案登记号</w:t>
            </w:r>
          </w:p>
        </w:tc>
        <w:tc>
          <w:tcPr>
            <w:tcW w:w="491" w:type="pct"/>
            <w:tcBorders>
              <w:top w:val="single" w:color="auto" w:sz="4" w:space="0"/>
              <w:left w:val="single" w:color="auto" w:sz="4" w:space="0"/>
              <w:bottom w:val="single" w:color="auto" w:sz="4" w:space="0"/>
              <w:right w:val="single" w:color="auto" w:sz="4" w:space="0"/>
            </w:tcBorders>
            <w:noWrap w:val="0"/>
            <w:vAlign w:val="center"/>
          </w:tcPr>
          <w:p w14:paraId="0B51A02A">
            <w:pPr>
              <w:keepNext w:val="0"/>
              <w:keepLines w:val="0"/>
              <w:pageBreakBefore w:val="0"/>
              <w:widowControl w:val="0"/>
              <w:kinsoku/>
              <w:wordWrap/>
              <w:overflowPunct/>
              <w:topLinePunct w:val="0"/>
              <w:autoSpaceDE/>
              <w:autoSpaceDN/>
              <w:bidi w:val="0"/>
              <w:spacing w:line="300" w:lineRule="atLeast"/>
              <w:jc w:val="center"/>
              <w:textAlignment w:val="center"/>
              <w:rPr>
                <w:rFonts w:hint="eastAsia" w:ascii="Times New Roman" w:hAnsi="Times New Roman" w:eastAsia="仿宋_GB2312"/>
                <w:b/>
                <w:bCs/>
                <w:sz w:val="24"/>
                <w:szCs w:val="24"/>
                <w:lang w:val="en-US" w:eastAsia="zh-CN"/>
              </w:rPr>
            </w:pPr>
            <w:r>
              <w:rPr>
                <w:rFonts w:hint="eastAsia" w:ascii="Times New Roman" w:hAnsi="Times New Roman" w:eastAsia="仿宋_GB2312"/>
                <w:b/>
                <w:bCs/>
                <w:sz w:val="24"/>
                <w:szCs w:val="24"/>
                <w:lang w:val="en-US" w:eastAsia="zh-CN"/>
              </w:rPr>
              <w:t>备注</w:t>
            </w:r>
          </w:p>
        </w:tc>
      </w:tr>
      <w:tr w14:paraId="3B2ACD0C">
        <w:tblPrEx>
          <w:tblCellMar>
            <w:top w:w="0" w:type="dxa"/>
            <w:left w:w="0" w:type="dxa"/>
            <w:bottom w:w="0" w:type="dxa"/>
            <w:right w:w="0" w:type="dxa"/>
          </w:tblCellMar>
        </w:tblPrEx>
        <w:trPr>
          <w:trHeight w:val="555" w:hRule="atLeast"/>
          <w:jc w:val="center"/>
        </w:trPr>
        <w:tc>
          <w:tcPr>
            <w:tcW w:w="324"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55A790D0">
            <w:pPr>
              <w:keepNext w:val="0"/>
              <w:keepLines w:val="0"/>
              <w:pageBreakBefore w:val="0"/>
              <w:widowControl w:val="0"/>
              <w:kinsoku/>
              <w:wordWrap/>
              <w:overflowPunct/>
              <w:topLinePunct w:val="0"/>
              <w:autoSpaceDE/>
              <w:autoSpaceDN/>
              <w:bidi w:val="0"/>
              <w:spacing w:line="300" w:lineRule="atLeast"/>
              <w:jc w:val="center"/>
              <w:textAlignment w:val="center"/>
              <w:rPr>
                <w:rFonts w:ascii="Times New Roman" w:hAnsi="Times New Roman" w:eastAsia="仿宋_GB2312"/>
                <w:sz w:val="24"/>
                <w:szCs w:val="24"/>
              </w:rPr>
            </w:pPr>
          </w:p>
        </w:tc>
        <w:tc>
          <w:tcPr>
            <w:tcW w:w="390"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42D17945">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370"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0198000E">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341"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4C509154">
            <w:pPr>
              <w:keepNext w:val="0"/>
              <w:keepLines w:val="0"/>
              <w:pageBreakBefore w:val="0"/>
              <w:widowControl w:val="0"/>
              <w:kinsoku/>
              <w:wordWrap/>
              <w:overflowPunct/>
              <w:topLinePunct w:val="0"/>
              <w:autoSpaceDE/>
              <w:autoSpaceDN/>
              <w:bidi w:val="0"/>
              <w:spacing w:line="300" w:lineRule="atLeast"/>
              <w:ind w:left="-2197" w:leftChars="-1052" w:hanging="12" w:hangingChars="5"/>
              <w:jc w:val="center"/>
              <w:rPr>
                <w:rFonts w:ascii="Times New Roman" w:hAnsi="Times New Roman" w:eastAsia="仿宋_GB2312"/>
                <w:sz w:val="24"/>
                <w:szCs w:val="24"/>
              </w:rPr>
            </w:pPr>
          </w:p>
        </w:tc>
        <w:tc>
          <w:tcPr>
            <w:tcW w:w="382"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50CBC2E1">
            <w:pPr>
              <w:keepNext w:val="0"/>
              <w:keepLines w:val="0"/>
              <w:pageBreakBefore w:val="0"/>
              <w:widowControl w:val="0"/>
              <w:kinsoku/>
              <w:wordWrap/>
              <w:overflowPunct/>
              <w:topLinePunct w:val="0"/>
              <w:autoSpaceDE/>
              <w:autoSpaceDN/>
              <w:bidi w:val="0"/>
              <w:spacing w:line="300" w:lineRule="atLeast"/>
              <w:ind w:left="-2197" w:leftChars="-1052" w:hanging="12" w:hangingChars="5"/>
              <w:jc w:val="center"/>
              <w:rPr>
                <w:rFonts w:ascii="Times New Roman" w:hAnsi="Times New Roman" w:eastAsia="仿宋_GB2312"/>
                <w:sz w:val="24"/>
                <w:szCs w:val="24"/>
              </w:rPr>
            </w:pPr>
          </w:p>
        </w:tc>
        <w:tc>
          <w:tcPr>
            <w:tcW w:w="429"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757ADFA9">
            <w:pPr>
              <w:keepNext w:val="0"/>
              <w:keepLines w:val="0"/>
              <w:pageBreakBefore w:val="0"/>
              <w:widowControl w:val="0"/>
              <w:kinsoku/>
              <w:wordWrap/>
              <w:overflowPunct/>
              <w:topLinePunct w:val="0"/>
              <w:autoSpaceDE/>
              <w:autoSpaceDN/>
              <w:bidi w:val="0"/>
              <w:spacing w:line="300" w:lineRule="atLeast"/>
              <w:ind w:left="-2197" w:leftChars="-1052" w:hanging="12" w:hangingChars="5"/>
              <w:jc w:val="center"/>
              <w:rPr>
                <w:rFonts w:ascii="Times New Roman" w:hAnsi="Times New Roman" w:eastAsia="仿宋_GB2312"/>
                <w:sz w:val="24"/>
                <w:szCs w:val="24"/>
              </w:rPr>
            </w:pPr>
          </w:p>
        </w:tc>
        <w:tc>
          <w:tcPr>
            <w:tcW w:w="335" w:type="pct"/>
            <w:tcBorders>
              <w:top w:val="single" w:color="auto" w:sz="4" w:space="0"/>
              <w:left w:val="single" w:color="auto" w:sz="4" w:space="0"/>
              <w:bottom w:val="single" w:color="auto" w:sz="4" w:space="0"/>
              <w:right w:val="single" w:color="auto" w:sz="4" w:space="0"/>
            </w:tcBorders>
            <w:noWrap w:val="0"/>
            <w:vAlign w:val="center"/>
          </w:tcPr>
          <w:p w14:paraId="64C265D4">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291" w:type="pct"/>
            <w:tcBorders>
              <w:top w:val="single" w:color="auto" w:sz="4" w:space="0"/>
              <w:left w:val="single" w:color="auto" w:sz="4" w:space="0"/>
              <w:bottom w:val="single" w:color="auto" w:sz="4" w:space="0"/>
              <w:right w:val="single" w:color="auto" w:sz="4" w:space="0"/>
            </w:tcBorders>
            <w:noWrap w:val="0"/>
            <w:vAlign w:val="center"/>
          </w:tcPr>
          <w:p w14:paraId="03E015B6">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257" w:type="pct"/>
            <w:tcBorders>
              <w:top w:val="single" w:color="auto" w:sz="4" w:space="0"/>
              <w:left w:val="single" w:color="auto" w:sz="4" w:space="0"/>
              <w:bottom w:val="single" w:color="auto" w:sz="4" w:space="0"/>
              <w:right w:val="single" w:color="auto" w:sz="4" w:space="0"/>
            </w:tcBorders>
            <w:noWrap w:val="0"/>
            <w:vAlign w:val="center"/>
          </w:tcPr>
          <w:p w14:paraId="0E375E1A">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350" w:type="pct"/>
            <w:tcBorders>
              <w:top w:val="single" w:color="auto" w:sz="4" w:space="0"/>
              <w:left w:val="single" w:color="auto" w:sz="4" w:space="0"/>
              <w:bottom w:val="single" w:color="auto" w:sz="4" w:space="0"/>
              <w:right w:val="single" w:color="auto" w:sz="4" w:space="0"/>
            </w:tcBorders>
            <w:noWrap w:val="0"/>
            <w:vAlign w:val="center"/>
          </w:tcPr>
          <w:p w14:paraId="1D0F1F9B">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275" w:type="pct"/>
            <w:tcBorders>
              <w:top w:val="single" w:color="auto" w:sz="4" w:space="0"/>
              <w:left w:val="single" w:color="auto" w:sz="4" w:space="0"/>
              <w:bottom w:val="single" w:color="auto" w:sz="4" w:space="0"/>
              <w:right w:val="single" w:color="auto" w:sz="4" w:space="0"/>
            </w:tcBorders>
            <w:noWrap w:val="0"/>
            <w:vAlign w:val="center"/>
          </w:tcPr>
          <w:p w14:paraId="573AF09C">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345" w:type="pct"/>
            <w:tcBorders>
              <w:top w:val="single" w:color="auto" w:sz="4" w:space="0"/>
              <w:left w:val="single" w:color="auto" w:sz="4" w:space="0"/>
              <w:bottom w:val="single" w:color="auto" w:sz="4" w:space="0"/>
              <w:right w:val="single" w:color="auto" w:sz="4" w:space="0"/>
            </w:tcBorders>
            <w:noWrap w:val="0"/>
            <w:vAlign w:val="center"/>
          </w:tcPr>
          <w:p w14:paraId="456A5A57">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413" w:type="pct"/>
            <w:tcBorders>
              <w:top w:val="single" w:color="auto" w:sz="4" w:space="0"/>
              <w:left w:val="single" w:color="auto" w:sz="4" w:space="0"/>
              <w:bottom w:val="single" w:color="auto" w:sz="4" w:space="0"/>
              <w:right w:val="single" w:color="auto" w:sz="4" w:space="0"/>
            </w:tcBorders>
            <w:noWrap w:val="0"/>
            <w:vAlign w:val="center"/>
          </w:tcPr>
          <w:p w14:paraId="62CDEB00">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491" w:type="pct"/>
            <w:tcBorders>
              <w:top w:val="single" w:color="auto" w:sz="4" w:space="0"/>
              <w:left w:val="single" w:color="auto" w:sz="4" w:space="0"/>
              <w:bottom w:val="single" w:color="auto" w:sz="4" w:space="0"/>
              <w:right w:val="single" w:color="auto" w:sz="4" w:space="0"/>
            </w:tcBorders>
            <w:noWrap w:val="0"/>
            <w:vAlign w:val="center"/>
          </w:tcPr>
          <w:p w14:paraId="1C4CA9F7">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r>
      <w:tr w14:paraId="3B581905">
        <w:tblPrEx>
          <w:tblCellMar>
            <w:top w:w="0" w:type="dxa"/>
            <w:left w:w="0" w:type="dxa"/>
            <w:bottom w:w="0" w:type="dxa"/>
            <w:right w:w="0" w:type="dxa"/>
          </w:tblCellMar>
        </w:tblPrEx>
        <w:trPr>
          <w:trHeight w:val="555" w:hRule="atLeast"/>
          <w:jc w:val="center"/>
        </w:trPr>
        <w:tc>
          <w:tcPr>
            <w:tcW w:w="324"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29F516F5">
            <w:pPr>
              <w:keepNext w:val="0"/>
              <w:keepLines w:val="0"/>
              <w:pageBreakBefore w:val="0"/>
              <w:widowControl w:val="0"/>
              <w:kinsoku/>
              <w:wordWrap/>
              <w:overflowPunct/>
              <w:topLinePunct w:val="0"/>
              <w:autoSpaceDE/>
              <w:autoSpaceDN/>
              <w:bidi w:val="0"/>
              <w:spacing w:line="300" w:lineRule="atLeast"/>
              <w:jc w:val="center"/>
              <w:textAlignment w:val="center"/>
              <w:rPr>
                <w:rFonts w:ascii="Times New Roman" w:hAnsi="Times New Roman" w:eastAsia="仿宋_GB2312"/>
                <w:sz w:val="24"/>
                <w:szCs w:val="24"/>
              </w:rPr>
            </w:pPr>
          </w:p>
        </w:tc>
        <w:tc>
          <w:tcPr>
            <w:tcW w:w="390"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3020C609">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370"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38AE0E90">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341"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3CB541E0">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382"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46974387">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429"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00B75A22">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335" w:type="pct"/>
            <w:tcBorders>
              <w:top w:val="single" w:color="auto" w:sz="4" w:space="0"/>
              <w:left w:val="single" w:color="auto" w:sz="4" w:space="0"/>
              <w:bottom w:val="single" w:color="auto" w:sz="4" w:space="0"/>
              <w:right w:val="single" w:color="auto" w:sz="4" w:space="0"/>
            </w:tcBorders>
            <w:noWrap w:val="0"/>
            <w:vAlign w:val="center"/>
          </w:tcPr>
          <w:p w14:paraId="7573AAB8">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291" w:type="pct"/>
            <w:tcBorders>
              <w:top w:val="single" w:color="auto" w:sz="4" w:space="0"/>
              <w:left w:val="single" w:color="auto" w:sz="4" w:space="0"/>
              <w:bottom w:val="single" w:color="auto" w:sz="4" w:space="0"/>
              <w:right w:val="single" w:color="auto" w:sz="4" w:space="0"/>
            </w:tcBorders>
            <w:noWrap w:val="0"/>
            <w:vAlign w:val="center"/>
          </w:tcPr>
          <w:p w14:paraId="0D68F4D8">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257" w:type="pct"/>
            <w:tcBorders>
              <w:top w:val="single" w:color="auto" w:sz="4" w:space="0"/>
              <w:left w:val="single" w:color="auto" w:sz="4" w:space="0"/>
              <w:bottom w:val="single" w:color="auto" w:sz="4" w:space="0"/>
              <w:right w:val="single" w:color="auto" w:sz="4" w:space="0"/>
            </w:tcBorders>
            <w:noWrap w:val="0"/>
            <w:vAlign w:val="center"/>
          </w:tcPr>
          <w:p w14:paraId="2B4CB988">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350" w:type="pct"/>
            <w:tcBorders>
              <w:top w:val="single" w:color="auto" w:sz="4" w:space="0"/>
              <w:left w:val="single" w:color="auto" w:sz="4" w:space="0"/>
              <w:bottom w:val="single" w:color="auto" w:sz="4" w:space="0"/>
              <w:right w:val="single" w:color="auto" w:sz="4" w:space="0"/>
            </w:tcBorders>
            <w:noWrap w:val="0"/>
            <w:vAlign w:val="center"/>
          </w:tcPr>
          <w:p w14:paraId="004B8E47">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275" w:type="pct"/>
            <w:tcBorders>
              <w:top w:val="single" w:color="auto" w:sz="4" w:space="0"/>
              <w:left w:val="single" w:color="auto" w:sz="4" w:space="0"/>
              <w:bottom w:val="single" w:color="auto" w:sz="4" w:space="0"/>
              <w:right w:val="single" w:color="auto" w:sz="4" w:space="0"/>
            </w:tcBorders>
            <w:noWrap w:val="0"/>
            <w:vAlign w:val="center"/>
          </w:tcPr>
          <w:p w14:paraId="4BAA28B9">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345" w:type="pct"/>
            <w:tcBorders>
              <w:top w:val="single" w:color="auto" w:sz="4" w:space="0"/>
              <w:left w:val="single" w:color="auto" w:sz="4" w:space="0"/>
              <w:bottom w:val="single" w:color="auto" w:sz="4" w:space="0"/>
              <w:right w:val="single" w:color="auto" w:sz="4" w:space="0"/>
            </w:tcBorders>
            <w:noWrap w:val="0"/>
            <w:vAlign w:val="center"/>
          </w:tcPr>
          <w:p w14:paraId="4A891944">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413" w:type="pct"/>
            <w:tcBorders>
              <w:top w:val="single" w:color="auto" w:sz="4" w:space="0"/>
              <w:left w:val="single" w:color="auto" w:sz="4" w:space="0"/>
              <w:bottom w:val="single" w:color="auto" w:sz="4" w:space="0"/>
              <w:right w:val="single" w:color="auto" w:sz="4" w:space="0"/>
            </w:tcBorders>
            <w:noWrap w:val="0"/>
            <w:vAlign w:val="center"/>
          </w:tcPr>
          <w:p w14:paraId="40BB044F">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491" w:type="pct"/>
            <w:tcBorders>
              <w:top w:val="single" w:color="auto" w:sz="4" w:space="0"/>
              <w:left w:val="single" w:color="auto" w:sz="4" w:space="0"/>
              <w:bottom w:val="single" w:color="auto" w:sz="4" w:space="0"/>
              <w:right w:val="single" w:color="auto" w:sz="4" w:space="0"/>
            </w:tcBorders>
            <w:noWrap w:val="0"/>
            <w:vAlign w:val="center"/>
          </w:tcPr>
          <w:p w14:paraId="71DD9F73">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r>
      <w:tr w14:paraId="63551165">
        <w:tblPrEx>
          <w:tblCellMar>
            <w:top w:w="0" w:type="dxa"/>
            <w:left w:w="0" w:type="dxa"/>
            <w:bottom w:w="0" w:type="dxa"/>
            <w:right w:w="0" w:type="dxa"/>
          </w:tblCellMar>
        </w:tblPrEx>
        <w:trPr>
          <w:trHeight w:val="555" w:hRule="atLeast"/>
          <w:jc w:val="center"/>
        </w:trPr>
        <w:tc>
          <w:tcPr>
            <w:tcW w:w="324"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25770777">
            <w:pPr>
              <w:keepNext w:val="0"/>
              <w:keepLines w:val="0"/>
              <w:pageBreakBefore w:val="0"/>
              <w:widowControl w:val="0"/>
              <w:kinsoku/>
              <w:wordWrap/>
              <w:overflowPunct/>
              <w:topLinePunct w:val="0"/>
              <w:autoSpaceDE/>
              <w:autoSpaceDN/>
              <w:bidi w:val="0"/>
              <w:spacing w:line="300" w:lineRule="atLeast"/>
              <w:jc w:val="center"/>
              <w:textAlignment w:val="center"/>
              <w:rPr>
                <w:rFonts w:ascii="Times New Roman" w:hAnsi="Times New Roman" w:eastAsia="仿宋_GB2312"/>
                <w:sz w:val="24"/>
                <w:szCs w:val="24"/>
              </w:rPr>
            </w:pPr>
          </w:p>
        </w:tc>
        <w:tc>
          <w:tcPr>
            <w:tcW w:w="390"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20721210">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370"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49C2E69F">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341"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3A92F6F8">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382"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24CA5FD0">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429"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33917B2B">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335" w:type="pct"/>
            <w:tcBorders>
              <w:top w:val="single" w:color="auto" w:sz="4" w:space="0"/>
              <w:left w:val="single" w:color="auto" w:sz="4" w:space="0"/>
              <w:bottom w:val="single" w:color="auto" w:sz="4" w:space="0"/>
              <w:right w:val="single" w:color="auto" w:sz="4" w:space="0"/>
            </w:tcBorders>
            <w:noWrap w:val="0"/>
            <w:vAlign w:val="center"/>
          </w:tcPr>
          <w:p w14:paraId="7F0D6ECF">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291" w:type="pct"/>
            <w:tcBorders>
              <w:top w:val="single" w:color="auto" w:sz="4" w:space="0"/>
              <w:left w:val="single" w:color="auto" w:sz="4" w:space="0"/>
              <w:bottom w:val="single" w:color="auto" w:sz="4" w:space="0"/>
              <w:right w:val="single" w:color="auto" w:sz="4" w:space="0"/>
            </w:tcBorders>
            <w:noWrap w:val="0"/>
            <w:vAlign w:val="center"/>
          </w:tcPr>
          <w:p w14:paraId="28931296">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257" w:type="pct"/>
            <w:tcBorders>
              <w:top w:val="single" w:color="auto" w:sz="4" w:space="0"/>
              <w:left w:val="single" w:color="auto" w:sz="4" w:space="0"/>
              <w:bottom w:val="single" w:color="auto" w:sz="4" w:space="0"/>
              <w:right w:val="single" w:color="auto" w:sz="4" w:space="0"/>
            </w:tcBorders>
            <w:noWrap w:val="0"/>
            <w:vAlign w:val="center"/>
          </w:tcPr>
          <w:p w14:paraId="1B9EC465">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350" w:type="pct"/>
            <w:tcBorders>
              <w:top w:val="single" w:color="auto" w:sz="4" w:space="0"/>
              <w:left w:val="single" w:color="auto" w:sz="4" w:space="0"/>
              <w:bottom w:val="single" w:color="auto" w:sz="4" w:space="0"/>
              <w:right w:val="single" w:color="auto" w:sz="4" w:space="0"/>
            </w:tcBorders>
            <w:noWrap w:val="0"/>
            <w:vAlign w:val="center"/>
          </w:tcPr>
          <w:p w14:paraId="1A64309F">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275" w:type="pct"/>
            <w:tcBorders>
              <w:top w:val="single" w:color="auto" w:sz="4" w:space="0"/>
              <w:left w:val="single" w:color="auto" w:sz="4" w:space="0"/>
              <w:bottom w:val="single" w:color="auto" w:sz="4" w:space="0"/>
              <w:right w:val="single" w:color="auto" w:sz="4" w:space="0"/>
            </w:tcBorders>
            <w:noWrap w:val="0"/>
            <w:vAlign w:val="center"/>
          </w:tcPr>
          <w:p w14:paraId="225933BF">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345" w:type="pct"/>
            <w:tcBorders>
              <w:top w:val="single" w:color="auto" w:sz="4" w:space="0"/>
              <w:left w:val="single" w:color="auto" w:sz="4" w:space="0"/>
              <w:bottom w:val="single" w:color="auto" w:sz="4" w:space="0"/>
              <w:right w:val="single" w:color="auto" w:sz="4" w:space="0"/>
            </w:tcBorders>
            <w:noWrap w:val="0"/>
            <w:vAlign w:val="center"/>
          </w:tcPr>
          <w:p w14:paraId="714D8007">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413" w:type="pct"/>
            <w:tcBorders>
              <w:top w:val="single" w:color="auto" w:sz="4" w:space="0"/>
              <w:left w:val="single" w:color="auto" w:sz="4" w:space="0"/>
              <w:bottom w:val="single" w:color="auto" w:sz="4" w:space="0"/>
              <w:right w:val="single" w:color="auto" w:sz="4" w:space="0"/>
            </w:tcBorders>
            <w:noWrap w:val="0"/>
            <w:vAlign w:val="center"/>
          </w:tcPr>
          <w:p w14:paraId="113C9898">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491" w:type="pct"/>
            <w:tcBorders>
              <w:top w:val="single" w:color="auto" w:sz="4" w:space="0"/>
              <w:left w:val="single" w:color="auto" w:sz="4" w:space="0"/>
              <w:bottom w:val="single" w:color="auto" w:sz="4" w:space="0"/>
              <w:right w:val="single" w:color="auto" w:sz="4" w:space="0"/>
            </w:tcBorders>
            <w:noWrap w:val="0"/>
            <w:vAlign w:val="center"/>
          </w:tcPr>
          <w:p w14:paraId="582E1CB8">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r>
      <w:tr w14:paraId="7CAF3D25">
        <w:tblPrEx>
          <w:tblCellMar>
            <w:top w:w="0" w:type="dxa"/>
            <w:left w:w="0" w:type="dxa"/>
            <w:bottom w:w="0" w:type="dxa"/>
            <w:right w:w="0" w:type="dxa"/>
          </w:tblCellMar>
        </w:tblPrEx>
        <w:trPr>
          <w:trHeight w:val="555" w:hRule="atLeast"/>
          <w:jc w:val="center"/>
        </w:trPr>
        <w:tc>
          <w:tcPr>
            <w:tcW w:w="324"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03F56D19">
            <w:pPr>
              <w:keepNext w:val="0"/>
              <w:keepLines w:val="0"/>
              <w:pageBreakBefore w:val="0"/>
              <w:widowControl w:val="0"/>
              <w:kinsoku/>
              <w:wordWrap/>
              <w:overflowPunct/>
              <w:topLinePunct w:val="0"/>
              <w:autoSpaceDE/>
              <w:autoSpaceDN/>
              <w:bidi w:val="0"/>
              <w:spacing w:line="300" w:lineRule="atLeast"/>
              <w:jc w:val="center"/>
              <w:textAlignment w:val="center"/>
              <w:rPr>
                <w:rFonts w:ascii="Times New Roman" w:hAnsi="Times New Roman" w:eastAsia="仿宋_GB2312"/>
                <w:sz w:val="24"/>
                <w:szCs w:val="24"/>
              </w:rPr>
            </w:pPr>
          </w:p>
        </w:tc>
        <w:tc>
          <w:tcPr>
            <w:tcW w:w="390"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14353ED8">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370"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7A33137B">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341"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2DB731E6">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382"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1ABFD6A7">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429"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2FEE64B3">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335" w:type="pct"/>
            <w:tcBorders>
              <w:top w:val="single" w:color="auto" w:sz="4" w:space="0"/>
              <w:left w:val="single" w:color="auto" w:sz="4" w:space="0"/>
              <w:bottom w:val="single" w:color="auto" w:sz="4" w:space="0"/>
              <w:right w:val="single" w:color="auto" w:sz="4" w:space="0"/>
            </w:tcBorders>
            <w:noWrap w:val="0"/>
            <w:vAlign w:val="center"/>
          </w:tcPr>
          <w:p w14:paraId="223E290C">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291" w:type="pct"/>
            <w:tcBorders>
              <w:top w:val="single" w:color="auto" w:sz="4" w:space="0"/>
              <w:left w:val="single" w:color="auto" w:sz="4" w:space="0"/>
              <w:bottom w:val="single" w:color="auto" w:sz="4" w:space="0"/>
              <w:right w:val="single" w:color="auto" w:sz="4" w:space="0"/>
            </w:tcBorders>
            <w:noWrap w:val="0"/>
            <w:vAlign w:val="center"/>
          </w:tcPr>
          <w:p w14:paraId="62181120">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257" w:type="pct"/>
            <w:tcBorders>
              <w:top w:val="single" w:color="auto" w:sz="4" w:space="0"/>
              <w:left w:val="single" w:color="auto" w:sz="4" w:space="0"/>
              <w:bottom w:val="single" w:color="auto" w:sz="4" w:space="0"/>
              <w:right w:val="single" w:color="auto" w:sz="4" w:space="0"/>
            </w:tcBorders>
            <w:noWrap w:val="0"/>
            <w:vAlign w:val="center"/>
          </w:tcPr>
          <w:p w14:paraId="7FF98800">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350" w:type="pct"/>
            <w:tcBorders>
              <w:top w:val="single" w:color="auto" w:sz="4" w:space="0"/>
              <w:left w:val="single" w:color="auto" w:sz="4" w:space="0"/>
              <w:bottom w:val="single" w:color="auto" w:sz="4" w:space="0"/>
              <w:right w:val="single" w:color="auto" w:sz="4" w:space="0"/>
            </w:tcBorders>
            <w:noWrap w:val="0"/>
            <w:vAlign w:val="center"/>
          </w:tcPr>
          <w:p w14:paraId="56AB5DFE">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275" w:type="pct"/>
            <w:tcBorders>
              <w:top w:val="single" w:color="auto" w:sz="4" w:space="0"/>
              <w:left w:val="single" w:color="auto" w:sz="4" w:space="0"/>
              <w:bottom w:val="single" w:color="auto" w:sz="4" w:space="0"/>
              <w:right w:val="single" w:color="auto" w:sz="4" w:space="0"/>
            </w:tcBorders>
            <w:noWrap w:val="0"/>
            <w:vAlign w:val="center"/>
          </w:tcPr>
          <w:p w14:paraId="4E88F31D">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345" w:type="pct"/>
            <w:tcBorders>
              <w:top w:val="single" w:color="auto" w:sz="4" w:space="0"/>
              <w:left w:val="single" w:color="auto" w:sz="4" w:space="0"/>
              <w:bottom w:val="single" w:color="auto" w:sz="4" w:space="0"/>
              <w:right w:val="single" w:color="auto" w:sz="4" w:space="0"/>
            </w:tcBorders>
            <w:noWrap w:val="0"/>
            <w:vAlign w:val="center"/>
          </w:tcPr>
          <w:p w14:paraId="36F63126">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413" w:type="pct"/>
            <w:tcBorders>
              <w:top w:val="single" w:color="auto" w:sz="4" w:space="0"/>
              <w:left w:val="single" w:color="auto" w:sz="4" w:space="0"/>
              <w:bottom w:val="single" w:color="auto" w:sz="4" w:space="0"/>
              <w:right w:val="single" w:color="auto" w:sz="4" w:space="0"/>
            </w:tcBorders>
            <w:noWrap w:val="0"/>
            <w:vAlign w:val="center"/>
          </w:tcPr>
          <w:p w14:paraId="3050C425">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491" w:type="pct"/>
            <w:tcBorders>
              <w:top w:val="single" w:color="auto" w:sz="4" w:space="0"/>
              <w:left w:val="single" w:color="auto" w:sz="4" w:space="0"/>
              <w:bottom w:val="single" w:color="auto" w:sz="4" w:space="0"/>
              <w:right w:val="single" w:color="auto" w:sz="4" w:space="0"/>
            </w:tcBorders>
            <w:noWrap w:val="0"/>
            <w:vAlign w:val="center"/>
          </w:tcPr>
          <w:p w14:paraId="40F8C35B">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r>
      <w:tr w14:paraId="61723F69">
        <w:tblPrEx>
          <w:tblCellMar>
            <w:top w:w="0" w:type="dxa"/>
            <w:left w:w="0" w:type="dxa"/>
            <w:bottom w:w="0" w:type="dxa"/>
            <w:right w:w="0" w:type="dxa"/>
          </w:tblCellMar>
        </w:tblPrEx>
        <w:trPr>
          <w:trHeight w:val="555" w:hRule="atLeast"/>
          <w:jc w:val="center"/>
        </w:trPr>
        <w:tc>
          <w:tcPr>
            <w:tcW w:w="324"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43D76A91">
            <w:pPr>
              <w:keepNext w:val="0"/>
              <w:keepLines w:val="0"/>
              <w:pageBreakBefore w:val="0"/>
              <w:widowControl w:val="0"/>
              <w:kinsoku/>
              <w:wordWrap/>
              <w:overflowPunct/>
              <w:topLinePunct w:val="0"/>
              <w:autoSpaceDE/>
              <w:autoSpaceDN/>
              <w:bidi w:val="0"/>
              <w:spacing w:line="300" w:lineRule="atLeast"/>
              <w:jc w:val="center"/>
              <w:textAlignment w:val="center"/>
              <w:rPr>
                <w:rFonts w:ascii="Times New Roman" w:hAnsi="Times New Roman" w:eastAsia="仿宋_GB2312"/>
                <w:sz w:val="24"/>
                <w:szCs w:val="24"/>
              </w:rPr>
            </w:pPr>
          </w:p>
        </w:tc>
        <w:tc>
          <w:tcPr>
            <w:tcW w:w="390"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2038F1BF">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370"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23D839A8">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341"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6463351D">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382"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4E2A23EA">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429"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76F2CDE6">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335" w:type="pct"/>
            <w:tcBorders>
              <w:top w:val="single" w:color="auto" w:sz="4" w:space="0"/>
              <w:left w:val="single" w:color="auto" w:sz="4" w:space="0"/>
              <w:bottom w:val="single" w:color="auto" w:sz="4" w:space="0"/>
              <w:right w:val="single" w:color="auto" w:sz="4" w:space="0"/>
            </w:tcBorders>
            <w:noWrap w:val="0"/>
            <w:vAlign w:val="center"/>
          </w:tcPr>
          <w:p w14:paraId="42F45231">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291" w:type="pct"/>
            <w:tcBorders>
              <w:top w:val="single" w:color="auto" w:sz="4" w:space="0"/>
              <w:left w:val="single" w:color="auto" w:sz="4" w:space="0"/>
              <w:bottom w:val="single" w:color="auto" w:sz="4" w:space="0"/>
              <w:right w:val="single" w:color="auto" w:sz="4" w:space="0"/>
            </w:tcBorders>
            <w:noWrap w:val="0"/>
            <w:vAlign w:val="center"/>
          </w:tcPr>
          <w:p w14:paraId="46551831">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257" w:type="pct"/>
            <w:tcBorders>
              <w:top w:val="single" w:color="auto" w:sz="4" w:space="0"/>
              <w:left w:val="single" w:color="auto" w:sz="4" w:space="0"/>
              <w:bottom w:val="single" w:color="auto" w:sz="4" w:space="0"/>
              <w:right w:val="single" w:color="auto" w:sz="4" w:space="0"/>
            </w:tcBorders>
            <w:noWrap w:val="0"/>
            <w:vAlign w:val="center"/>
          </w:tcPr>
          <w:p w14:paraId="642B981E">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350" w:type="pct"/>
            <w:tcBorders>
              <w:top w:val="single" w:color="auto" w:sz="4" w:space="0"/>
              <w:left w:val="single" w:color="auto" w:sz="4" w:space="0"/>
              <w:bottom w:val="single" w:color="auto" w:sz="4" w:space="0"/>
              <w:right w:val="single" w:color="auto" w:sz="4" w:space="0"/>
            </w:tcBorders>
            <w:noWrap w:val="0"/>
            <w:vAlign w:val="center"/>
          </w:tcPr>
          <w:p w14:paraId="506767D9">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275" w:type="pct"/>
            <w:tcBorders>
              <w:top w:val="single" w:color="auto" w:sz="4" w:space="0"/>
              <w:left w:val="single" w:color="auto" w:sz="4" w:space="0"/>
              <w:bottom w:val="single" w:color="auto" w:sz="4" w:space="0"/>
              <w:right w:val="single" w:color="auto" w:sz="4" w:space="0"/>
            </w:tcBorders>
            <w:noWrap w:val="0"/>
            <w:vAlign w:val="center"/>
          </w:tcPr>
          <w:p w14:paraId="7E87F813">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345" w:type="pct"/>
            <w:tcBorders>
              <w:top w:val="single" w:color="auto" w:sz="4" w:space="0"/>
              <w:left w:val="single" w:color="auto" w:sz="4" w:space="0"/>
              <w:bottom w:val="single" w:color="auto" w:sz="4" w:space="0"/>
              <w:right w:val="single" w:color="auto" w:sz="4" w:space="0"/>
            </w:tcBorders>
            <w:noWrap w:val="0"/>
            <w:vAlign w:val="center"/>
          </w:tcPr>
          <w:p w14:paraId="2FBEC9E2">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413" w:type="pct"/>
            <w:tcBorders>
              <w:top w:val="single" w:color="auto" w:sz="4" w:space="0"/>
              <w:left w:val="single" w:color="auto" w:sz="4" w:space="0"/>
              <w:bottom w:val="single" w:color="auto" w:sz="4" w:space="0"/>
              <w:right w:val="single" w:color="auto" w:sz="4" w:space="0"/>
            </w:tcBorders>
            <w:noWrap w:val="0"/>
            <w:vAlign w:val="center"/>
          </w:tcPr>
          <w:p w14:paraId="21901BF3">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491" w:type="pct"/>
            <w:tcBorders>
              <w:top w:val="single" w:color="auto" w:sz="4" w:space="0"/>
              <w:left w:val="single" w:color="auto" w:sz="4" w:space="0"/>
              <w:bottom w:val="single" w:color="auto" w:sz="4" w:space="0"/>
              <w:right w:val="single" w:color="auto" w:sz="4" w:space="0"/>
            </w:tcBorders>
            <w:noWrap w:val="0"/>
            <w:vAlign w:val="center"/>
          </w:tcPr>
          <w:p w14:paraId="19B386C5">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r>
    </w:tbl>
    <w:p w14:paraId="4580F9A6">
      <w:pPr>
        <w:keepNext w:val="0"/>
        <w:keepLines w:val="0"/>
        <w:pageBreakBefore w:val="0"/>
        <w:widowControl w:val="0"/>
        <w:kinsoku/>
        <w:wordWrap/>
        <w:overflowPunct/>
        <w:topLinePunct w:val="0"/>
        <w:autoSpaceDE/>
        <w:autoSpaceDN/>
        <w:bidi w:val="0"/>
        <w:adjustRightInd w:val="0"/>
        <w:snapToGrid w:val="0"/>
        <w:spacing w:line="360" w:lineRule="auto"/>
        <w:jc w:val="left"/>
        <w:rPr>
          <w:rFonts w:ascii="Times New Roman" w:hAnsi="Times New Roman" w:eastAsia="仿宋_GB2312"/>
          <w:sz w:val="28"/>
          <w:szCs w:val="28"/>
        </w:rPr>
      </w:pPr>
      <w:r>
        <w:rPr>
          <w:rFonts w:ascii="Times New Roman" w:hAnsi="Times New Roman" w:eastAsia="仿宋_GB2312"/>
          <w:sz w:val="28"/>
          <w:szCs w:val="28"/>
        </w:rPr>
        <w:t xml:space="preserve"> </w:t>
      </w:r>
      <w:r>
        <w:rPr>
          <w:rFonts w:hint="eastAsia" w:ascii="Times New Roman" w:hAnsi="Times New Roman" w:eastAsia="仿宋_GB2312"/>
          <w:sz w:val="28"/>
          <w:szCs w:val="28"/>
          <w:lang w:eastAsia="zh-CN"/>
        </w:rPr>
        <w:t>负责人</w:t>
      </w:r>
      <w:r>
        <w:rPr>
          <w:rFonts w:hint="eastAsia" w:ascii="Times New Roman" w:hAnsi="Times New Roman" w:eastAsia="仿宋_GB2312"/>
          <w:sz w:val="28"/>
          <w:szCs w:val="28"/>
        </w:rPr>
        <w:t xml:space="preserve">： </w:t>
      </w:r>
      <w:r>
        <w:rPr>
          <w:rFonts w:ascii="Times New Roman" w:hAnsi="Times New Roman" w:eastAsia="仿宋_GB2312"/>
          <w:sz w:val="28"/>
          <w:szCs w:val="28"/>
        </w:rPr>
        <w:t xml:space="preserve">            </w:t>
      </w:r>
      <w:r>
        <w:rPr>
          <w:rFonts w:hint="eastAsia" w:ascii="Times New Roman" w:hAnsi="Times New Roman" w:eastAsia="仿宋_GB2312"/>
          <w:sz w:val="28"/>
          <w:szCs w:val="28"/>
          <w:lang w:val="en-US" w:eastAsia="zh-CN"/>
        </w:rPr>
        <w:t xml:space="preserve">       </w:t>
      </w:r>
      <w:r>
        <w:rPr>
          <w:rFonts w:hint="eastAsia" w:ascii="Times New Roman" w:hAnsi="Times New Roman" w:eastAsia="仿宋_GB2312"/>
          <w:sz w:val="28"/>
          <w:szCs w:val="28"/>
          <w:lang w:eastAsia="zh-CN"/>
        </w:rPr>
        <w:t>填报人：</w:t>
      </w:r>
      <w:r>
        <w:rPr>
          <w:rFonts w:ascii="Times New Roman" w:hAnsi="Times New Roman" w:eastAsia="仿宋_GB2312"/>
          <w:sz w:val="28"/>
          <w:szCs w:val="28"/>
        </w:rPr>
        <w:t xml:space="preserve">              </w:t>
      </w:r>
      <w:r>
        <w:rPr>
          <w:rFonts w:hint="eastAsia" w:ascii="Times New Roman" w:hAnsi="Times New Roman" w:eastAsia="仿宋_GB2312"/>
          <w:sz w:val="28"/>
          <w:szCs w:val="28"/>
          <w:lang w:val="en-US" w:eastAsia="zh-CN"/>
        </w:rPr>
        <w:t xml:space="preserve">             </w:t>
      </w:r>
      <w:r>
        <w:rPr>
          <w:rFonts w:hint="eastAsia" w:ascii="Times New Roman" w:hAnsi="Times New Roman" w:eastAsia="仿宋_GB2312"/>
          <w:sz w:val="28"/>
          <w:szCs w:val="28"/>
        </w:rPr>
        <w:t>联系电话：</w:t>
      </w:r>
    </w:p>
    <w:p w14:paraId="3915A89E">
      <w:pPr>
        <w:keepNext w:val="0"/>
        <w:keepLines w:val="0"/>
        <w:pageBreakBefore w:val="0"/>
        <w:widowControl w:val="0"/>
        <w:kinsoku/>
        <w:wordWrap/>
        <w:overflowPunct/>
        <w:topLinePunct w:val="0"/>
        <w:autoSpaceDE/>
        <w:autoSpaceDN/>
        <w:bidi w:val="0"/>
        <w:rPr>
          <w:rFonts w:hint="eastAsia" w:ascii="Times New Roman" w:hAnsi="Times New Roman" w:eastAsia="仿宋_GB2312"/>
          <w:sz w:val="32"/>
          <w:szCs w:val="32"/>
        </w:rPr>
      </w:pPr>
    </w:p>
    <w:p w14:paraId="05B72315">
      <w:pPr>
        <w:keepNext w:val="0"/>
        <w:keepLines w:val="0"/>
        <w:pageBreakBefore w:val="0"/>
        <w:widowControl w:val="0"/>
        <w:kinsoku/>
        <w:wordWrap/>
        <w:overflowPunct/>
        <w:topLinePunct w:val="0"/>
        <w:autoSpaceDE/>
        <w:autoSpaceDN/>
        <w:bidi w:val="0"/>
        <w:rPr>
          <w:rFonts w:hint="eastAsia" w:ascii="黑体" w:hAnsi="黑体" w:eastAsia="黑体" w:cs="黑体"/>
          <w:sz w:val="32"/>
          <w:szCs w:val="32"/>
        </w:rPr>
      </w:pPr>
      <w:r>
        <w:rPr>
          <w:rFonts w:hint="eastAsia" w:ascii="黑体" w:hAnsi="黑体" w:eastAsia="黑体" w:cs="黑体"/>
          <w:sz w:val="32"/>
          <w:szCs w:val="32"/>
        </w:rPr>
        <w:br w:type="page"/>
      </w:r>
      <w:bookmarkStart w:id="1" w:name="_GoBack"/>
      <w:r>
        <w:rPr>
          <w:rFonts w:hint="eastAsia" w:ascii="黑体" w:hAnsi="黑体" w:eastAsia="黑体" w:cs="黑体"/>
          <w:sz w:val="32"/>
          <w:szCs w:val="32"/>
        </w:rPr>
        <w:t>附件2</w:t>
      </w:r>
    </w:p>
    <w:p w14:paraId="45A81C42">
      <w:pPr>
        <w:pStyle w:val="5"/>
        <w:keepNext w:val="0"/>
        <w:keepLines w:val="0"/>
        <w:pageBreakBefore w:val="0"/>
        <w:widowControl w:val="0"/>
        <w:kinsoku/>
        <w:wordWrap/>
        <w:overflowPunct/>
        <w:topLinePunct w:val="0"/>
        <w:autoSpaceDE/>
        <w:autoSpaceDN/>
        <w:bidi w:val="0"/>
        <w:spacing w:line="600" w:lineRule="exact"/>
        <w:jc w:val="center"/>
        <w:rPr>
          <w:rFonts w:hint="eastAsia" w:ascii="方正小标宋简体" w:hAnsi="方正小标宋简体" w:eastAsia="方正小标宋简体" w:cs="方正小标宋简体"/>
          <w:sz w:val="44"/>
          <w:szCs w:val="36"/>
          <w:lang w:eastAsia="zh-CN"/>
        </w:rPr>
      </w:pPr>
      <w:r>
        <w:rPr>
          <w:rFonts w:hint="eastAsia" w:ascii="方正小标宋简体" w:hAnsi="方正小标宋简体" w:eastAsia="方正小标宋简体" w:cs="方正小标宋简体"/>
          <w:sz w:val="44"/>
          <w:szCs w:val="36"/>
        </w:rPr>
        <w:t>拟纳入基本医疗保险支付范围医用耗材推荐名单</w:t>
      </w:r>
    </w:p>
    <w:p w14:paraId="4AAA501C">
      <w:pPr>
        <w:pStyle w:val="5"/>
        <w:keepNext w:val="0"/>
        <w:keepLines w:val="0"/>
        <w:pageBreakBefore w:val="0"/>
        <w:widowControl w:val="0"/>
        <w:kinsoku/>
        <w:wordWrap/>
        <w:overflowPunct/>
        <w:topLinePunct w:val="0"/>
        <w:autoSpaceDE/>
        <w:autoSpaceDN/>
        <w:bidi w:val="0"/>
        <w:spacing w:line="600" w:lineRule="exact"/>
        <w:rPr>
          <w:rFonts w:ascii="Times New Roman" w:hAnsi="Times New Roman" w:eastAsia="黑体"/>
          <w:bCs/>
          <w:sz w:val="32"/>
          <w:szCs w:val="32"/>
        </w:rPr>
      </w:pPr>
      <w:r>
        <w:rPr>
          <w:rFonts w:hint="eastAsia" w:ascii="Times New Roman" w:hAnsi="Times New Roman" w:eastAsia="仿宋_GB2312"/>
          <w:sz w:val="28"/>
          <w:szCs w:val="28"/>
          <w:lang w:val="en-US" w:eastAsia="zh-CN"/>
        </w:rPr>
        <w:t>推荐</w:t>
      </w:r>
      <w:r>
        <w:rPr>
          <w:rFonts w:hint="eastAsia" w:ascii="Times New Roman" w:hAnsi="Times New Roman" w:eastAsia="仿宋_GB2312"/>
          <w:sz w:val="28"/>
          <w:szCs w:val="28"/>
        </w:rPr>
        <w:t xml:space="preserve">单位（加盖公章）：                                 </w:t>
      </w:r>
    </w:p>
    <w:tbl>
      <w:tblPr>
        <w:tblStyle w:val="11"/>
        <w:tblpPr w:leftFromText="180" w:rightFromText="180" w:vertAnchor="text" w:horzAnchor="page" w:tblpXSpec="center" w:tblpY="135"/>
        <w:tblOverlap w:val="never"/>
        <w:tblW w:w="5067" w:type="pct"/>
        <w:jc w:val="center"/>
        <w:tblLayout w:type="fixed"/>
        <w:tblCellMar>
          <w:top w:w="0" w:type="dxa"/>
          <w:left w:w="0" w:type="dxa"/>
          <w:bottom w:w="0" w:type="dxa"/>
          <w:right w:w="0" w:type="dxa"/>
        </w:tblCellMar>
      </w:tblPr>
      <w:tblGrid>
        <w:gridCol w:w="749"/>
        <w:gridCol w:w="1119"/>
        <w:gridCol w:w="882"/>
        <w:gridCol w:w="1119"/>
        <w:gridCol w:w="1018"/>
        <w:gridCol w:w="1043"/>
        <w:gridCol w:w="806"/>
        <w:gridCol w:w="743"/>
        <w:gridCol w:w="494"/>
        <w:gridCol w:w="923"/>
        <w:gridCol w:w="754"/>
        <w:gridCol w:w="1038"/>
        <w:gridCol w:w="1259"/>
        <w:gridCol w:w="1278"/>
        <w:gridCol w:w="932"/>
      </w:tblGrid>
      <w:tr w14:paraId="513730C7">
        <w:tblPrEx>
          <w:tblCellMar>
            <w:top w:w="0" w:type="dxa"/>
            <w:left w:w="0" w:type="dxa"/>
            <w:bottom w:w="0" w:type="dxa"/>
            <w:right w:w="0" w:type="dxa"/>
          </w:tblCellMar>
        </w:tblPrEx>
        <w:trPr>
          <w:trHeight w:val="820" w:hRule="atLeast"/>
          <w:jc w:val="center"/>
        </w:trPr>
        <w:tc>
          <w:tcPr>
            <w:tcW w:w="264"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336963D6">
            <w:pPr>
              <w:keepNext w:val="0"/>
              <w:keepLines w:val="0"/>
              <w:pageBreakBefore w:val="0"/>
              <w:widowControl w:val="0"/>
              <w:kinsoku/>
              <w:wordWrap/>
              <w:overflowPunct/>
              <w:topLinePunct w:val="0"/>
              <w:autoSpaceDE/>
              <w:autoSpaceDN/>
              <w:bidi w:val="0"/>
              <w:spacing w:line="300" w:lineRule="atLeast"/>
              <w:jc w:val="center"/>
              <w:textAlignment w:val="center"/>
              <w:rPr>
                <w:rFonts w:ascii="Times New Roman" w:hAnsi="Times New Roman" w:eastAsia="仿宋_GB2312"/>
                <w:b/>
                <w:bCs/>
                <w:sz w:val="24"/>
                <w:szCs w:val="24"/>
              </w:rPr>
            </w:pPr>
            <w:r>
              <w:rPr>
                <w:rFonts w:hint="eastAsia" w:ascii="Times New Roman" w:hAnsi="Times New Roman" w:eastAsia="仿宋_GB2312"/>
                <w:b/>
                <w:bCs/>
                <w:sz w:val="24"/>
                <w:szCs w:val="24"/>
              </w:rPr>
              <w:t>序号</w:t>
            </w:r>
          </w:p>
        </w:tc>
        <w:tc>
          <w:tcPr>
            <w:tcW w:w="395"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08F7DEEA">
            <w:pPr>
              <w:keepNext w:val="0"/>
              <w:keepLines w:val="0"/>
              <w:pageBreakBefore w:val="0"/>
              <w:widowControl w:val="0"/>
              <w:kinsoku/>
              <w:wordWrap/>
              <w:overflowPunct/>
              <w:topLinePunct w:val="0"/>
              <w:autoSpaceDE/>
              <w:autoSpaceDN/>
              <w:bidi w:val="0"/>
              <w:spacing w:line="300" w:lineRule="atLeast"/>
              <w:jc w:val="center"/>
              <w:textAlignment w:val="center"/>
              <w:rPr>
                <w:rFonts w:hint="eastAsia" w:ascii="Times New Roman" w:hAnsi="Times New Roman" w:eastAsia="仿宋_GB2312"/>
                <w:b/>
                <w:bCs/>
                <w:sz w:val="24"/>
                <w:szCs w:val="24"/>
              </w:rPr>
            </w:pPr>
            <w:r>
              <w:rPr>
                <w:rFonts w:hint="eastAsia" w:ascii="Times New Roman" w:hAnsi="Times New Roman" w:eastAsia="仿宋_GB2312"/>
                <w:b/>
                <w:bCs/>
                <w:sz w:val="24"/>
                <w:szCs w:val="24"/>
                <w:lang w:val="en-US" w:eastAsia="zh-CN"/>
              </w:rPr>
              <w:t>国家医用耗材代码</w:t>
            </w:r>
          </w:p>
        </w:tc>
        <w:tc>
          <w:tcPr>
            <w:tcW w:w="311"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041211C4">
            <w:pPr>
              <w:keepNext w:val="0"/>
              <w:keepLines w:val="0"/>
              <w:pageBreakBefore w:val="0"/>
              <w:widowControl w:val="0"/>
              <w:kinsoku/>
              <w:wordWrap/>
              <w:overflowPunct/>
              <w:topLinePunct w:val="0"/>
              <w:autoSpaceDE/>
              <w:autoSpaceDN/>
              <w:bidi w:val="0"/>
              <w:spacing w:line="300" w:lineRule="atLeast"/>
              <w:jc w:val="center"/>
              <w:textAlignment w:val="center"/>
              <w:rPr>
                <w:rFonts w:hint="eastAsia" w:ascii="Times New Roman" w:hAnsi="Times New Roman" w:eastAsia="仿宋_GB2312" w:cs="Times New Roman"/>
                <w:b/>
                <w:bCs/>
                <w:color w:val="auto"/>
                <w:kern w:val="2"/>
                <w:sz w:val="24"/>
                <w:szCs w:val="24"/>
                <w:lang w:val="en-US" w:eastAsia="zh-CN" w:bidi="ar-SA"/>
              </w:rPr>
            </w:pPr>
            <w:r>
              <w:rPr>
                <w:rFonts w:hint="eastAsia" w:ascii="Times New Roman" w:hAnsi="Times New Roman" w:eastAsia="仿宋_GB2312" w:cs="Times New Roman"/>
                <w:b/>
                <w:bCs/>
                <w:color w:val="auto"/>
                <w:kern w:val="2"/>
                <w:sz w:val="24"/>
                <w:szCs w:val="24"/>
                <w:lang w:val="en-US" w:eastAsia="zh-CN" w:bidi="ar-SA"/>
              </w:rPr>
              <w:t>单件产品名称</w:t>
            </w:r>
          </w:p>
        </w:tc>
        <w:tc>
          <w:tcPr>
            <w:tcW w:w="395"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2B20BD65">
            <w:pPr>
              <w:keepNext w:val="0"/>
              <w:keepLines w:val="0"/>
              <w:pageBreakBefore w:val="0"/>
              <w:widowControl w:val="0"/>
              <w:kinsoku/>
              <w:wordWrap/>
              <w:overflowPunct/>
              <w:topLinePunct w:val="0"/>
              <w:autoSpaceDE/>
              <w:autoSpaceDN/>
              <w:bidi w:val="0"/>
              <w:spacing w:line="300" w:lineRule="atLeast"/>
              <w:jc w:val="center"/>
              <w:textAlignment w:val="center"/>
              <w:rPr>
                <w:rFonts w:hint="eastAsia" w:ascii="Times New Roman" w:hAnsi="Times New Roman" w:eastAsia="仿宋_GB2312" w:cs="Times New Roman"/>
                <w:b/>
                <w:bCs/>
                <w:color w:val="auto"/>
                <w:kern w:val="2"/>
                <w:sz w:val="24"/>
                <w:szCs w:val="24"/>
                <w:lang w:val="en-US" w:eastAsia="zh-CN" w:bidi="ar-SA"/>
              </w:rPr>
            </w:pPr>
            <w:r>
              <w:rPr>
                <w:rFonts w:hint="eastAsia" w:ascii="Times New Roman" w:hAnsi="Times New Roman" w:eastAsia="仿宋_GB2312"/>
                <w:b/>
                <w:bCs/>
                <w:sz w:val="24"/>
                <w:szCs w:val="24"/>
                <w:lang w:val="en-US" w:eastAsia="zh-CN"/>
              </w:rPr>
              <w:t>一级分类</w:t>
            </w:r>
            <w:r>
              <w:rPr>
                <w:rFonts w:hint="eastAsia" w:ascii="Times New Roman" w:hAnsi="Times New Roman" w:eastAsia="仿宋_GB2312"/>
                <w:b/>
                <w:bCs/>
                <w:sz w:val="24"/>
                <w:szCs w:val="24"/>
                <w:lang w:val="en-US" w:eastAsia="zh-CN"/>
              </w:rPr>
              <w:br w:type="textWrapping"/>
            </w:r>
            <w:r>
              <w:rPr>
                <w:rFonts w:hint="eastAsia" w:ascii="Times New Roman" w:hAnsi="Times New Roman" w:eastAsia="仿宋_GB2312"/>
                <w:b/>
                <w:bCs/>
                <w:sz w:val="24"/>
                <w:szCs w:val="24"/>
                <w:lang w:val="en-US" w:eastAsia="zh-CN"/>
              </w:rPr>
              <w:t>（学科、品类）</w:t>
            </w:r>
          </w:p>
        </w:tc>
        <w:tc>
          <w:tcPr>
            <w:tcW w:w="359"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1B745A8F">
            <w:pPr>
              <w:keepNext w:val="0"/>
              <w:keepLines w:val="0"/>
              <w:pageBreakBefore w:val="0"/>
              <w:widowControl w:val="0"/>
              <w:kinsoku/>
              <w:wordWrap/>
              <w:overflowPunct/>
              <w:topLinePunct w:val="0"/>
              <w:autoSpaceDE/>
              <w:autoSpaceDN/>
              <w:bidi w:val="0"/>
              <w:spacing w:line="300" w:lineRule="atLeast"/>
              <w:jc w:val="center"/>
              <w:textAlignment w:val="center"/>
              <w:rPr>
                <w:rFonts w:hint="eastAsia" w:ascii="Times New Roman" w:hAnsi="Times New Roman" w:eastAsia="仿宋_GB2312" w:cs="Times New Roman"/>
                <w:b/>
                <w:bCs/>
                <w:color w:val="auto"/>
                <w:kern w:val="2"/>
                <w:sz w:val="24"/>
                <w:szCs w:val="24"/>
                <w:lang w:val="en-US" w:eastAsia="zh-CN" w:bidi="ar-SA"/>
              </w:rPr>
            </w:pPr>
            <w:r>
              <w:rPr>
                <w:rFonts w:hint="eastAsia" w:ascii="Times New Roman" w:hAnsi="Times New Roman" w:eastAsia="仿宋_GB2312"/>
                <w:b/>
                <w:bCs/>
                <w:sz w:val="24"/>
                <w:szCs w:val="24"/>
                <w:lang w:val="en-US" w:eastAsia="zh-CN"/>
              </w:rPr>
              <w:t>二级分类</w:t>
            </w:r>
            <w:r>
              <w:rPr>
                <w:rFonts w:hint="eastAsia" w:ascii="Times New Roman" w:hAnsi="Times New Roman" w:eastAsia="仿宋_GB2312"/>
                <w:b/>
                <w:bCs/>
                <w:sz w:val="24"/>
                <w:szCs w:val="24"/>
                <w:lang w:val="en-US" w:eastAsia="zh-CN"/>
              </w:rPr>
              <w:br w:type="textWrapping"/>
            </w:r>
            <w:r>
              <w:rPr>
                <w:rFonts w:hint="eastAsia" w:ascii="Times New Roman" w:hAnsi="Times New Roman" w:eastAsia="仿宋_GB2312"/>
                <w:b/>
                <w:bCs/>
                <w:sz w:val="24"/>
                <w:szCs w:val="24"/>
                <w:lang w:val="en-US" w:eastAsia="zh-CN"/>
              </w:rPr>
              <w:t>（用途、品目）</w:t>
            </w:r>
          </w:p>
        </w:tc>
        <w:tc>
          <w:tcPr>
            <w:tcW w:w="368"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2D795BF1">
            <w:pPr>
              <w:keepNext w:val="0"/>
              <w:keepLines w:val="0"/>
              <w:pageBreakBefore w:val="0"/>
              <w:widowControl w:val="0"/>
              <w:kinsoku/>
              <w:wordWrap/>
              <w:overflowPunct/>
              <w:topLinePunct w:val="0"/>
              <w:autoSpaceDE/>
              <w:autoSpaceDN/>
              <w:bidi w:val="0"/>
              <w:spacing w:line="300" w:lineRule="atLeast"/>
              <w:jc w:val="center"/>
              <w:textAlignment w:val="center"/>
              <w:rPr>
                <w:rFonts w:hint="eastAsia" w:ascii="Times New Roman" w:hAnsi="Times New Roman" w:eastAsia="仿宋_GB2312" w:cs="Times New Roman"/>
                <w:b/>
                <w:bCs/>
                <w:color w:val="auto"/>
                <w:kern w:val="2"/>
                <w:sz w:val="24"/>
                <w:szCs w:val="24"/>
                <w:lang w:val="en-US" w:eastAsia="zh-CN" w:bidi="ar-SA"/>
              </w:rPr>
            </w:pPr>
            <w:r>
              <w:rPr>
                <w:rFonts w:hint="eastAsia" w:ascii="Times New Roman" w:hAnsi="Times New Roman" w:eastAsia="仿宋_GB2312"/>
                <w:b/>
                <w:bCs/>
                <w:sz w:val="24"/>
                <w:szCs w:val="24"/>
                <w:lang w:val="en-US" w:eastAsia="zh-CN"/>
              </w:rPr>
              <w:t>三级分类</w:t>
            </w:r>
            <w:r>
              <w:rPr>
                <w:rFonts w:hint="eastAsia" w:ascii="Times New Roman" w:hAnsi="Times New Roman" w:eastAsia="仿宋_GB2312"/>
                <w:b/>
                <w:bCs/>
                <w:sz w:val="24"/>
                <w:szCs w:val="24"/>
                <w:lang w:val="en-US" w:eastAsia="zh-CN"/>
              </w:rPr>
              <w:br w:type="textWrapping"/>
            </w:r>
            <w:r>
              <w:rPr>
                <w:rFonts w:hint="eastAsia" w:ascii="Times New Roman" w:hAnsi="Times New Roman" w:eastAsia="仿宋_GB2312"/>
                <w:b/>
                <w:bCs/>
                <w:sz w:val="24"/>
                <w:szCs w:val="24"/>
                <w:lang w:val="en-US" w:eastAsia="zh-CN"/>
              </w:rPr>
              <w:t>（部位、功能、品种）</w:t>
            </w:r>
          </w:p>
        </w:tc>
        <w:tc>
          <w:tcPr>
            <w:tcW w:w="284" w:type="pct"/>
            <w:tcBorders>
              <w:top w:val="single" w:color="auto" w:sz="4" w:space="0"/>
              <w:left w:val="single" w:color="auto" w:sz="4" w:space="0"/>
              <w:bottom w:val="single" w:color="auto" w:sz="4" w:space="0"/>
              <w:right w:val="single" w:color="auto" w:sz="4" w:space="0"/>
            </w:tcBorders>
            <w:noWrap w:val="0"/>
            <w:vAlign w:val="center"/>
          </w:tcPr>
          <w:p w14:paraId="55EA57CA">
            <w:pPr>
              <w:keepNext w:val="0"/>
              <w:keepLines w:val="0"/>
              <w:pageBreakBefore w:val="0"/>
              <w:widowControl w:val="0"/>
              <w:kinsoku/>
              <w:wordWrap/>
              <w:overflowPunct/>
              <w:topLinePunct w:val="0"/>
              <w:autoSpaceDE/>
              <w:autoSpaceDN/>
              <w:bidi w:val="0"/>
              <w:spacing w:line="300" w:lineRule="atLeast"/>
              <w:jc w:val="center"/>
              <w:textAlignment w:val="center"/>
              <w:rPr>
                <w:rFonts w:hint="default" w:ascii="Times New Roman" w:hAnsi="Times New Roman" w:eastAsia="仿宋_GB2312" w:cs="Times New Roman"/>
                <w:b/>
                <w:bCs/>
                <w:color w:val="auto"/>
                <w:kern w:val="2"/>
                <w:sz w:val="24"/>
                <w:szCs w:val="24"/>
                <w:lang w:val="en-US" w:eastAsia="zh-CN" w:bidi="ar-SA"/>
              </w:rPr>
            </w:pPr>
            <w:r>
              <w:rPr>
                <w:rFonts w:hint="eastAsia" w:ascii="Times New Roman" w:hAnsi="Times New Roman" w:eastAsia="仿宋_GB2312"/>
                <w:b/>
                <w:bCs/>
                <w:sz w:val="24"/>
                <w:szCs w:val="24"/>
                <w:lang w:val="en-US" w:eastAsia="zh-CN"/>
              </w:rPr>
              <w:t>医保通用名</w:t>
            </w:r>
          </w:p>
        </w:tc>
        <w:tc>
          <w:tcPr>
            <w:tcW w:w="262" w:type="pct"/>
            <w:tcBorders>
              <w:top w:val="single" w:color="auto" w:sz="4" w:space="0"/>
              <w:left w:val="single" w:color="auto" w:sz="4" w:space="0"/>
              <w:bottom w:val="single" w:color="auto" w:sz="4" w:space="0"/>
              <w:right w:val="single" w:color="auto" w:sz="4" w:space="0"/>
            </w:tcBorders>
            <w:noWrap w:val="0"/>
            <w:vAlign w:val="center"/>
          </w:tcPr>
          <w:p w14:paraId="33EC260B">
            <w:pPr>
              <w:keepNext w:val="0"/>
              <w:keepLines w:val="0"/>
              <w:pageBreakBefore w:val="0"/>
              <w:widowControl w:val="0"/>
              <w:kinsoku/>
              <w:wordWrap/>
              <w:overflowPunct/>
              <w:topLinePunct w:val="0"/>
              <w:autoSpaceDE/>
              <w:autoSpaceDN/>
              <w:bidi w:val="0"/>
              <w:spacing w:line="300" w:lineRule="atLeast"/>
              <w:jc w:val="center"/>
              <w:textAlignment w:val="center"/>
              <w:rPr>
                <w:rFonts w:hint="eastAsia" w:ascii="Times New Roman" w:hAnsi="Times New Roman" w:eastAsia="仿宋_GB2312"/>
                <w:b/>
                <w:bCs/>
                <w:sz w:val="24"/>
                <w:szCs w:val="24"/>
                <w:lang w:val="en-US" w:eastAsia="zh-CN"/>
              </w:rPr>
            </w:pPr>
            <w:r>
              <w:rPr>
                <w:rFonts w:hint="eastAsia" w:ascii="Times New Roman" w:hAnsi="Times New Roman" w:eastAsia="仿宋_GB2312"/>
                <w:b/>
                <w:bCs/>
                <w:sz w:val="24"/>
                <w:szCs w:val="24"/>
                <w:lang w:val="en-US" w:eastAsia="zh-CN"/>
              </w:rPr>
              <w:t>具体功能及特征</w:t>
            </w:r>
          </w:p>
        </w:tc>
        <w:tc>
          <w:tcPr>
            <w:tcW w:w="174" w:type="pct"/>
            <w:tcBorders>
              <w:top w:val="single" w:color="auto" w:sz="4" w:space="0"/>
              <w:left w:val="single" w:color="auto" w:sz="4" w:space="0"/>
              <w:bottom w:val="single" w:color="auto" w:sz="4" w:space="0"/>
              <w:right w:val="single" w:color="auto" w:sz="4" w:space="0"/>
            </w:tcBorders>
            <w:noWrap w:val="0"/>
            <w:vAlign w:val="center"/>
          </w:tcPr>
          <w:p w14:paraId="117CA019">
            <w:pPr>
              <w:keepNext w:val="0"/>
              <w:keepLines w:val="0"/>
              <w:pageBreakBefore w:val="0"/>
              <w:widowControl w:val="0"/>
              <w:kinsoku/>
              <w:wordWrap/>
              <w:overflowPunct/>
              <w:topLinePunct w:val="0"/>
              <w:autoSpaceDE/>
              <w:autoSpaceDN/>
              <w:bidi w:val="0"/>
              <w:spacing w:line="300" w:lineRule="atLeast"/>
              <w:jc w:val="center"/>
              <w:textAlignment w:val="center"/>
              <w:rPr>
                <w:rFonts w:hint="default" w:ascii="Times New Roman" w:hAnsi="Times New Roman" w:eastAsia="仿宋_GB2312"/>
                <w:b/>
                <w:bCs/>
                <w:sz w:val="24"/>
                <w:szCs w:val="24"/>
                <w:lang w:val="en-US" w:eastAsia="zh-CN"/>
              </w:rPr>
            </w:pPr>
            <w:r>
              <w:rPr>
                <w:rFonts w:hint="eastAsia" w:ascii="Times New Roman" w:hAnsi="Times New Roman" w:eastAsia="仿宋_GB2312"/>
                <w:b/>
                <w:bCs/>
                <w:sz w:val="24"/>
                <w:szCs w:val="24"/>
                <w:lang w:val="en-US" w:eastAsia="zh-CN"/>
              </w:rPr>
              <w:t>采购价（元）</w:t>
            </w:r>
          </w:p>
        </w:tc>
        <w:tc>
          <w:tcPr>
            <w:tcW w:w="325" w:type="pct"/>
            <w:tcBorders>
              <w:top w:val="single" w:color="auto" w:sz="4" w:space="0"/>
              <w:left w:val="single" w:color="auto" w:sz="4" w:space="0"/>
              <w:bottom w:val="single" w:color="auto" w:sz="4" w:space="0"/>
              <w:right w:val="single" w:color="auto" w:sz="4" w:space="0"/>
            </w:tcBorders>
            <w:noWrap w:val="0"/>
            <w:vAlign w:val="center"/>
          </w:tcPr>
          <w:p w14:paraId="1AFCE7F3">
            <w:pPr>
              <w:keepNext w:val="0"/>
              <w:keepLines w:val="0"/>
              <w:pageBreakBefore w:val="0"/>
              <w:widowControl w:val="0"/>
              <w:kinsoku/>
              <w:wordWrap/>
              <w:overflowPunct/>
              <w:topLinePunct w:val="0"/>
              <w:autoSpaceDE/>
              <w:autoSpaceDN/>
              <w:bidi w:val="0"/>
              <w:spacing w:line="300" w:lineRule="atLeast"/>
              <w:jc w:val="center"/>
              <w:textAlignment w:val="center"/>
              <w:rPr>
                <w:rFonts w:hint="eastAsia" w:ascii="Times New Roman" w:hAnsi="Times New Roman" w:eastAsia="仿宋_GB2312"/>
                <w:b/>
                <w:bCs/>
                <w:sz w:val="24"/>
                <w:szCs w:val="24"/>
                <w:lang w:val="en-US" w:eastAsia="zh-CN"/>
              </w:rPr>
            </w:pPr>
            <w:r>
              <w:rPr>
                <w:rFonts w:hint="eastAsia" w:ascii="Times New Roman" w:hAnsi="Times New Roman" w:eastAsia="仿宋_GB2312"/>
                <w:b/>
                <w:bCs/>
                <w:sz w:val="24"/>
                <w:szCs w:val="24"/>
                <w:lang w:val="en-US" w:eastAsia="zh-CN"/>
              </w:rPr>
              <w:t>临床开始使用时间</w:t>
            </w:r>
          </w:p>
        </w:tc>
        <w:tc>
          <w:tcPr>
            <w:tcW w:w="266" w:type="pct"/>
            <w:tcBorders>
              <w:top w:val="single" w:color="auto" w:sz="4" w:space="0"/>
              <w:left w:val="single" w:color="auto" w:sz="4" w:space="0"/>
              <w:bottom w:val="single" w:color="auto" w:sz="4" w:space="0"/>
              <w:right w:val="single" w:color="auto" w:sz="4" w:space="0"/>
            </w:tcBorders>
            <w:noWrap w:val="0"/>
            <w:vAlign w:val="center"/>
          </w:tcPr>
          <w:p w14:paraId="5FC47A91">
            <w:pPr>
              <w:keepNext w:val="0"/>
              <w:keepLines w:val="0"/>
              <w:pageBreakBefore w:val="0"/>
              <w:widowControl w:val="0"/>
              <w:kinsoku/>
              <w:wordWrap/>
              <w:overflowPunct/>
              <w:topLinePunct w:val="0"/>
              <w:autoSpaceDE/>
              <w:autoSpaceDN/>
              <w:bidi w:val="0"/>
              <w:spacing w:line="300" w:lineRule="atLeast"/>
              <w:jc w:val="center"/>
              <w:textAlignment w:val="center"/>
              <w:rPr>
                <w:rFonts w:hint="default" w:ascii="Times New Roman" w:hAnsi="Times New Roman" w:eastAsia="仿宋_GB2312"/>
                <w:b/>
                <w:bCs/>
                <w:sz w:val="24"/>
                <w:szCs w:val="24"/>
                <w:lang w:val="en-US" w:eastAsia="zh-CN"/>
              </w:rPr>
            </w:pPr>
            <w:r>
              <w:rPr>
                <w:rFonts w:hint="eastAsia" w:ascii="Times New Roman" w:hAnsi="Times New Roman" w:eastAsia="仿宋_GB2312"/>
                <w:b/>
                <w:bCs/>
                <w:sz w:val="24"/>
                <w:szCs w:val="24"/>
                <w:lang w:val="en-US" w:eastAsia="zh-CN"/>
              </w:rPr>
              <w:t>年使用人次</w:t>
            </w:r>
          </w:p>
        </w:tc>
        <w:tc>
          <w:tcPr>
            <w:tcW w:w="366" w:type="pct"/>
            <w:tcBorders>
              <w:top w:val="single" w:color="auto" w:sz="4" w:space="0"/>
              <w:left w:val="single" w:color="auto" w:sz="4" w:space="0"/>
              <w:bottom w:val="single" w:color="auto" w:sz="4" w:space="0"/>
              <w:right w:val="single" w:color="auto" w:sz="4" w:space="0"/>
            </w:tcBorders>
            <w:noWrap w:val="0"/>
            <w:vAlign w:val="center"/>
          </w:tcPr>
          <w:p w14:paraId="6C28BB94">
            <w:pPr>
              <w:keepNext w:val="0"/>
              <w:keepLines w:val="0"/>
              <w:pageBreakBefore w:val="0"/>
              <w:widowControl w:val="0"/>
              <w:kinsoku/>
              <w:wordWrap/>
              <w:overflowPunct/>
              <w:topLinePunct w:val="0"/>
              <w:autoSpaceDE/>
              <w:autoSpaceDN/>
              <w:bidi w:val="0"/>
              <w:spacing w:line="300" w:lineRule="atLeast"/>
              <w:jc w:val="center"/>
              <w:textAlignment w:val="center"/>
              <w:rPr>
                <w:rFonts w:hint="eastAsia" w:ascii="Times New Roman" w:hAnsi="Times New Roman" w:eastAsia="仿宋_GB2312"/>
                <w:b/>
                <w:bCs/>
                <w:sz w:val="24"/>
                <w:szCs w:val="24"/>
                <w:lang w:val="en-US" w:eastAsia="zh-CN"/>
              </w:rPr>
            </w:pPr>
            <w:r>
              <w:rPr>
                <w:rFonts w:hint="eastAsia" w:ascii="Times New Roman" w:hAnsi="Times New Roman" w:eastAsia="仿宋_GB2312"/>
                <w:b/>
                <w:bCs/>
                <w:sz w:val="24"/>
                <w:szCs w:val="24"/>
                <w:lang w:val="en-US" w:eastAsia="zh-CN"/>
              </w:rPr>
              <w:t>年使用金额（万元）</w:t>
            </w:r>
          </w:p>
        </w:tc>
        <w:tc>
          <w:tcPr>
            <w:tcW w:w="444" w:type="pct"/>
            <w:tcBorders>
              <w:top w:val="single" w:color="auto" w:sz="4" w:space="0"/>
              <w:left w:val="single" w:color="auto" w:sz="4" w:space="0"/>
              <w:bottom w:val="single" w:color="auto" w:sz="4" w:space="0"/>
              <w:right w:val="single" w:color="auto" w:sz="4" w:space="0"/>
            </w:tcBorders>
            <w:noWrap w:val="0"/>
            <w:vAlign w:val="center"/>
          </w:tcPr>
          <w:p w14:paraId="6D689DA1">
            <w:pPr>
              <w:keepNext w:val="0"/>
              <w:keepLines w:val="0"/>
              <w:pageBreakBefore w:val="0"/>
              <w:widowControl w:val="0"/>
              <w:kinsoku/>
              <w:wordWrap/>
              <w:overflowPunct/>
              <w:topLinePunct w:val="0"/>
              <w:autoSpaceDE/>
              <w:autoSpaceDN/>
              <w:bidi w:val="0"/>
              <w:spacing w:line="300" w:lineRule="atLeast"/>
              <w:jc w:val="center"/>
              <w:textAlignment w:val="center"/>
              <w:rPr>
                <w:rFonts w:hint="default" w:ascii="Times New Roman" w:hAnsi="Times New Roman" w:eastAsia="仿宋_GB2312"/>
                <w:b/>
                <w:bCs/>
                <w:sz w:val="24"/>
                <w:szCs w:val="24"/>
                <w:lang w:val="en-US" w:eastAsia="zh-CN"/>
              </w:rPr>
            </w:pPr>
            <w:r>
              <w:rPr>
                <w:rFonts w:hint="eastAsia" w:ascii="Times New Roman" w:hAnsi="Times New Roman" w:eastAsia="仿宋_GB2312"/>
                <w:b/>
                <w:bCs/>
                <w:sz w:val="24"/>
                <w:szCs w:val="24"/>
                <w:lang w:val="en-US" w:eastAsia="zh-CN"/>
              </w:rPr>
              <w:t>批准文号/备案登记号</w:t>
            </w:r>
          </w:p>
        </w:tc>
        <w:tc>
          <w:tcPr>
            <w:tcW w:w="451" w:type="pct"/>
            <w:tcBorders>
              <w:top w:val="single" w:color="auto" w:sz="4" w:space="0"/>
              <w:left w:val="single" w:color="auto" w:sz="4" w:space="0"/>
              <w:bottom w:val="single" w:color="auto" w:sz="4" w:space="0"/>
              <w:right w:val="single" w:color="auto" w:sz="4" w:space="0"/>
            </w:tcBorders>
            <w:noWrap w:val="0"/>
            <w:vAlign w:val="center"/>
          </w:tcPr>
          <w:p w14:paraId="72F8E8CA">
            <w:pPr>
              <w:keepNext w:val="0"/>
              <w:keepLines w:val="0"/>
              <w:pageBreakBefore w:val="0"/>
              <w:widowControl w:val="0"/>
              <w:kinsoku/>
              <w:wordWrap/>
              <w:overflowPunct/>
              <w:topLinePunct w:val="0"/>
              <w:autoSpaceDE/>
              <w:autoSpaceDN/>
              <w:bidi w:val="0"/>
              <w:spacing w:line="300" w:lineRule="atLeast"/>
              <w:jc w:val="center"/>
              <w:textAlignment w:val="center"/>
              <w:rPr>
                <w:rFonts w:hint="eastAsia" w:ascii="Times New Roman" w:hAnsi="Times New Roman" w:eastAsia="仿宋_GB2312"/>
                <w:b/>
                <w:bCs/>
                <w:sz w:val="24"/>
                <w:szCs w:val="24"/>
                <w:lang w:val="en-US" w:eastAsia="zh-CN"/>
              </w:rPr>
            </w:pPr>
            <w:r>
              <w:rPr>
                <w:rFonts w:hint="eastAsia" w:ascii="Times New Roman" w:hAnsi="Times New Roman" w:eastAsia="仿宋_GB2312"/>
                <w:b/>
                <w:bCs/>
                <w:sz w:val="24"/>
                <w:szCs w:val="24"/>
                <w:lang w:val="en-US" w:eastAsia="zh-CN"/>
              </w:rPr>
              <w:t>推荐医疗机构数量</w:t>
            </w:r>
          </w:p>
        </w:tc>
        <w:tc>
          <w:tcPr>
            <w:tcW w:w="329" w:type="pct"/>
            <w:tcBorders>
              <w:top w:val="single" w:color="auto" w:sz="4" w:space="0"/>
              <w:left w:val="single" w:color="auto" w:sz="4" w:space="0"/>
              <w:bottom w:val="single" w:color="auto" w:sz="4" w:space="0"/>
              <w:right w:val="single" w:color="auto" w:sz="4" w:space="0"/>
            </w:tcBorders>
            <w:noWrap w:val="0"/>
            <w:vAlign w:val="center"/>
          </w:tcPr>
          <w:p w14:paraId="7087BC84">
            <w:pPr>
              <w:keepNext w:val="0"/>
              <w:keepLines w:val="0"/>
              <w:pageBreakBefore w:val="0"/>
              <w:widowControl w:val="0"/>
              <w:kinsoku/>
              <w:wordWrap/>
              <w:overflowPunct/>
              <w:topLinePunct w:val="0"/>
              <w:autoSpaceDE/>
              <w:autoSpaceDN/>
              <w:bidi w:val="0"/>
              <w:spacing w:line="300" w:lineRule="atLeast"/>
              <w:jc w:val="center"/>
              <w:textAlignment w:val="center"/>
              <w:rPr>
                <w:rFonts w:hint="eastAsia" w:ascii="Times New Roman" w:hAnsi="Times New Roman" w:eastAsia="仿宋_GB2312"/>
                <w:b/>
                <w:bCs/>
                <w:sz w:val="24"/>
                <w:szCs w:val="24"/>
                <w:lang w:val="en-US" w:eastAsia="zh-CN"/>
              </w:rPr>
            </w:pPr>
            <w:r>
              <w:rPr>
                <w:rFonts w:hint="eastAsia" w:ascii="Times New Roman" w:hAnsi="Times New Roman" w:eastAsia="仿宋_GB2312"/>
                <w:b/>
                <w:bCs/>
                <w:sz w:val="24"/>
                <w:szCs w:val="24"/>
                <w:lang w:val="en-US" w:eastAsia="zh-CN"/>
              </w:rPr>
              <w:t>备注</w:t>
            </w:r>
          </w:p>
        </w:tc>
      </w:tr>
      <w:tr w14:paraId="0C4F65D1">
        <w:tblPrEx>
          <w:tblCellMar>
            <w:top w:w="0" w:type="dxa"/>
            <w:left w:w="0" w:type="dxa"/>
            <w:bottom w:w="0" w:type="dxa"/>
            <w:right w:w="0" w:type="dxa"/>
          </w:tblCellMar>
        </w:tblPrEx>
        <w:trPr>
          <w:trHeight w:val="555" w:hRule="atLeast"/>
          <w:jc w:val="center"/>
        </w:trPr>
        <w:tc>
          <w:tcPr>
            <w:tcW w:w="264"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507EF0CF">
            <w:pPr>
              <w:keepNext w:val="0"/>
              <w:keepLines w:val="0"/>
              <w:pageBreakBefore w:val="0"/>
              <w:widowControl w:val="0"/>
              <w:kinsoku/>
              <w:wordWrap/>
              <w:overflowPunct/>
              <w:topLinePunct w:val="0"/>
              <w:autoSpaceDE/>
              <w:autoSpaceDN/>
              <w:bidi w:val="0"/>
              <w:spacing w:line="300" w:lineRule="atLeast"/>
              <w:jc w:val="center"/>
              <w:textAlignment w:val="center"/>
              <w:rPr>
                <w:rFonts w:ascii="Times New Roman" w:hAnsi="Times New Roman" w:eastAsia="仿宋_GB2312"/>
                <w:sz w:val="24"/>
                <w:szCs w:val="24"/>
              </w:rPr>
            </w:pPr>
          </w:p>
        </w:tc>
        <w:tc>
          <w:tcPr>
            <w:tcW w:w="395"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2F8C9149">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311"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2603E8F1">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395"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11A08158">
            <w:pPr>
              <w:keepNext w:val="0"/>
              <w:keepLines w:val="0"/>
              <w:pageBreakBefore w:val="0"/>
              <w:widowControl w:val="0"/>
              <w:kinsoku/>
              <w:wordWrap/>
              <w:overflowPunct/>
              <w:topLinePunct w:val="0"/>
              <w:autoSpaceDE/>
              <w:autoSpaceDN/>
              <w:bidi w:val="0"/>
              <w:spacing w:line="300" w:lineRule="atLeast"/>
              <w:ind w:left="-2197" w:leftChars="-1052" w:hanging="12" w:hangingChars="5"/>
              <w:jc w:val="center"/>
              <w:rPr>
                <w:rFonts w:ascii="Times New Roman" w:hAnsi="Times New Roman" w:eastAsia="仿宋_GB2312"/>
                <w:sz w:val="24"/>
                <w:szCs w:val="24"/>
              </w:rPr>
            </w:pPr>
          </w:p>
        </w:tc>
        <w:tc>
          <w:tcPr>
            <w:tcW w:w="359"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622EEB92">
            <w:pPr>
              <w:keepNext w:val="0"/>
              <w:keepLines w:val="0"/>
              <w:pageBreakBefore w:val="0"/>
              <w:widowControl w:val="0"/>
              <w:kinsoku/>
              <w:wordWrap/>
              <w:overflowPunct/>
              <w:topLinePunct w:val="0"/>
              <w:autoSpaceDE/>
              <w:autoSpaceDN/>
              <w:bidi w:val="0"/>
              <w:spacing w:line="300" w:lineRule="atLeast"/>
              <w:ind w:left="-2197" w:leftChars="-1052" w:hanging="12" w:hangingChars="5"/>
              <w:jc w:val="center"/>
              <w:rPr>
                <w:rFonts w:ascii="Times New Roman" w:hAnsi="Times New Roman" w:eastAsia="仿宋_GB2312"/>
                <w:sz w:val="24"/>
                <w:szCs w:val="24"/>
              </w:rPr>
            </w:pPr>
          </w:p>
        </w:tc>
        <w:tc>
          <w:tcPr>
            <w:tcW w:w="368"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6311B53D">
            <w:pPr>
              <w:keepNext w:val="0"/>
              <w:keepLines w:val="0"/>
              <w:pageBreakBefore w:val="0"/>
              <w:widowControl w:val="0"/>
              <w:kinsoku/>
              <w:wordWrap/>
              <w:overflowPunct/>
              <w:topLinePunct w:val="0"/>
              <w:autoSpaceDE/>
              <w:autoSpaceDN/>
              <w:bidi w:val="0"/>
              <w:spacing w:line="300" w:lineRule="atLeast"/>
              <w:ind w:left="-2197" w:leftChars="-1052" w:hanging="12" w:hangingChars="5"/>
              <w:jc w:val="center"/>
              <w:rPr>
                <w:rFonts w:ascii="Times New Roman" w:hAnsi="Times New Roman" w:eastAsia="仿宋_GB2312"/>
                <w:sz w:val="24"/>
                <w:szCs w:val="24"/>
              </w:rPr>
            </w:pPr>
          </w:p>
        </w:tc>
        <w:tc>
          <w:tcPr>
            <w:tcW w:w="284" w:type="pct"/>
            <w:tcBorders>
              <w:top w:val="single" w:color="auto" w:sz="4" w:space="0"/>
              <w:left w:val="single" w:color="auto" w:sz="4" w:space="0"/>
              <w:bottom w:val="single" w:color="auto" w:sz="4" w:space="0"/>
              <w:right w:val="single" w:color="auto" w:sz="4" w:space="0"/>
            </w:tcBorders>
            <w:noWrap w:val="0"/>
            <w:vAlign w:val="center"/>
          </w:tcPr>
          <w:p w14:paraId="7BC1BC79">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262" w:type="pct"/>
            <w:tcBorders>
              <w:top w:val="single" w:color="auto" w:sz="4" w:space="0"/>
              <w:left w:val="single" w:color="auto" w:sz="4" w:space="0"/>
              <w:bottom w:val="single" w:color="auto" w:sz="4" w:space="0"/>
              <w:right w:val="single" w:color="auto" w:sz="4" w:space="0"/>
            </w:tcBorders>
            <w:noWrap w:val="0"/>
            <w:vAlign w:val="center"/>
          </w:tcPr>
          <w:p w14:paraId="07B1C8D5">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174" w:type="pct"/>
            <w:tcBorders>
              <w:top w:val="single" w:color="auto" w:sz="4" w:space="0"/>
              <w:left w:val="single" w:color="auto" w:sz="4" w:space="0"/>
              <w:bottom w:val="single" w:color="auto" w:sz="4" w:space="0"/>
              <w:right w:val="single" w:color="auto" w:sz="4" w:space="0"/>
            </w:tcBorders>
            <w:noWrap w:val="0"/>
            <w:vAlign w:val="center"/>
          </w:tcPr>
          <w:p w14:paraId="7ADA62DA">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325" w:type="pct"/>
            <w:tcBorders>
              <w:top w:val="single" w:color="auto" w:sz="4" w:space="0"/>
              <w:left w:val="single" w:color="auto" w:sz="4" w:space="0"/>
              <w:bottom w:val="single" w:color="auto" w:sz="4" w:space="0"/>
              <w:right w:val="single" w:color="auto" w:sz="4" w:space="0"/>
            </w:tcBorders>
            <w:noWrap w:val="0"/>
            <w:vAlign w:val="center"/>
          </w:tcPr>
          <w:p w14:paraId="63E1F1F4">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266" w:type="pct"/>
            <w:tcBorders>
              <w:top w:val="single" w:color="auto" w:sz="4" w:space="0"/>
              <w:left w:val="single" w:color="auto" w:sz="4" w:space="0"/>
              <w:bottom w:val="single" w:color="auto" w:sz="4" w:space="0"/>
              <w:right w:val="single" w:color="auto" w:sz="4" w:space="0"/>
            </w:tcBorders>
            <w:noWrap w:val="0"/>
            <w:vAlign w:val="center"/>
          </w:tcPr>
          <w:p w14:paraId="73CB605B">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366" w:type="pct"/>
            <w:tcBorders>
              <w:top w:val="single" w:color="auto" w:sz="4" w:space="0"/>
              <w:left w:val="single" w:color="auto" w:sz="4" w:space="0"/>
              <w:bottom w:val="single" w:color="auto" w:sz="4" w:space="0"/>
              <w:right w:val="single" w:color="auto" w:sz="4" w:space="0"/>
            </w:tcBorders>
            <w:noWrap w:val="0"/>
            <w:vAlign w:val="center"/>
          </w:tcPr>
          <w:p w14:paraId="06DCD61A">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444" w:type="pct"/>
            <w:tcBorders>
              <w:top w:val="single" w:color="auto" w:sz="4" w:space="0"/>
              <w:left w:val="single" w:color="auto" w:sz="4" w:space="0"/>
              <w:bottom w:val="single" w:color="auto" w:sz="4" w:space="0"/>
              <w:right w:val="single" w:color="auto" w:sz="4" w:space="0"/>
            </w:tcBorders>
            <w:noWrap w:val="0"/>
            <w:vAlign w:val="center"/>
          </w:tcPr>
          <w:p w14:paraId="27D65F6A">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451" w:type="pct"/>
            <w:tcBorders>
              <w:top w:val="single" w:color="auto" w:sz="4" w:space="0"/>
              <w:left w:val="single" w:color="auto" w:sz="4" w:space="0"/>
              <w:bottom w:val="single" w:color="auto" w:sz="4" w:space="0"/>
              <w:right w:val="single" w:color="auto" w:sz="4" w:space="0"/>
            </w:tcBorders>
            <w:noWrap w:val="0"/>
            <w:vAlign w:val="center"/>
          </w:tcPr>
          <w:p w14:paraId="36ADA533">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329" w:type="pct"/>
            <w:tcBorders>
              <w:top w:val="single" w:color="auto" w:sz="4" w:space="0"/>
              <w:left w:val="single" w:color="auto" w:sz="4" w:space="0"/>
              <w:bottom w:val="single" w:color="auto" w:sz="4" w:space="0"/>
              <w:right w:val="single" w:color="auto" w:sz="4" w:space="0"/>
            </w:tcBorders>
            <w:noWrap w:val="0"/>
            <w:vAlign w:val="center"/>
          </w:tcPr>
          <w:p w14:paraId="2E0E06C3">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r>
      <w:tr w14:paraId="2075967F">
        <w:tblPrEx>
          <w:tblCellMar>
            <w:top w:w="0" w:type="dxa"/>
            <w:left w:w="0" w:type="dxa"/>
            <w:bottom w:w="0" w:type="dxa"/>
            <w:right w:w="0" w:type="dxa"/>
          </w:tblCellMar>
        </w:tblPrEx>
        <w:trPr>
          <w:trHeight w:val="555" w:hRule="atLeast"/>
          <w:jc w:val="center"/>
        </w:trPr>
        <w:tc>
          <w:tcPr>
            <w:tcW w:w="264"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34C3ADB1">
            <w:pPr>
              <w:keepNext w:val="0"/>
              <w:keepLines w:val="0"/>
              <w:pageBreakBefore w:val="0"/>
              <w:widowControl w:val="0"/>
              <w:kinsoku/>
              <w:wordWrap/>
              <w:overflowPunct/>
              <w:topLinePunct w:val="0"/>
              <w:autoSpaceDE/>
              <w:autoSpaceDN/>
              <w:bidi w:val="0"/>
              <w:spacing w:line="300" w:lineRule="atLeast"/>
              <w:jc w:val="center"/>
              <w:textAlignment w:val="center"/>
              <w:rPr>
                <w:rFonts w:ascii="Times New Roman" w:hAnsi="Times New Roman" w:eastAsia="仿宋_GB2312"/>
                <w:sz w:val="24"/>
                <w:szCs w:val="24"/>
              </w:rPr>
            </w:pPr>
          </w:p>
        </w:tc>
        <w:tc>
          <w:tcPr>
            <w:tcW w:w="395"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02035583">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311"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51DAAE3D">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395"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680576AC">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359"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760F593E">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368"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30F0637A">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284" w:type="pct"/>
            <w:tcBorders>
              <w:top w:val="single" w:color="auto" w:sz="4" w:space="0"/>
              <w:left w:val="single" w:color="auto" w:sz="4" w:space="0"/>
              <w:bottom w:val="single" w:color="auto" w:sz="4" w:space="0"/>
              <w:right w:val="single" w:color="auto" w:sz="4" w:space="0"/>
            </w:tcBorders>
            <w:noWrap w:val="0"/>
            <w:vAlign w:val="center"/>
          </w:tcPr>
          <w:p w14:paraId="0A23582F">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262" w:type="pct"/>
            <w:tcBorders>
              <w:top w:val="single" w:color="auto" w:sz="4" w:space="0"/>
              <w:left w:val="single" w:color="auto" w:sz="4" w:space="0"/>
              <w:bottom w:val="single" w:color="auto" w:sz="4" w:space="0"/>
              <w:right w:val="single" w:color="auto" w:sz="4" w:space="0"/>
            </w:tcBorders>
            <w:noWrap w:val="0"/>
            <w:vAlign w:val="center"/>
          </w:tcPr>
          <w:p w14:paraId="00FB18D0">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174" w:type="pct"/>
            <w:tcBorders>
              <w:top w:val="single" w:color="auto" w:sz="4" w:space="0"/>
              <w:left w:val="single" w:color="auto" w:sz="4" w:space="0"/>
              <w:bottom w:val="single" w:color="auto" w:sz="4" w:space="0"/>
              <w:right w:val="single" w:color="auto" w:sz="4" w:space="0"/>
            </w:tcBorders>
            <w:noWrap w:val="0"/>
            <w:vAlign w:val="center"/>
          </w:tcPr>
          <w:p w14:paraId="47D0A044">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325" w:type="pct"/>
            <w:tcBorders>
              <w:top w:val="single" w:color="auto" w:sz="4" w:space="0"/>
              <w:left w:val="single" w:color="auto" w:sz="4" w:space="0"/>
              <w:bottom w:val="single" w:color="auto" w:sz="4" w:space="0"/>
              <w:right w:val="single" w:color="auto" w:sz="4" w:space="0"/>
            </w:tcBorders>
            <w:noWrap w:val="0"/>
            <w:vAlign w:val="center"/>
          </w:tcPr>
          <w:p w14:paraId="2EB0ACDD">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266" w:type="pct"/>
            <w:tcBorders>
              <w:top w:val="single" w:color="auto" w:sz="4" w:space="0"/>
              <w:left w:val="single" w:color="auto" w:sz="4" w:space="0"/>
              <w:bottom w:val="single" w:color="auto" w:sz="4" w:space="0"/>
              <w:right w:val="single" w:color="auto" w:sz="4" w:space="0"/>
            </w:tcBorders>
            <w:noWrap w:val="0"/>
            <w:vAlign w:val="center"/>
          </w:tcPr>
          <w:p w14:paraId="58A1E057">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366" w:type="pct"/>
            <w:tcBorders>
              <w:top w:val="single" w:color="auto" w:sz="4" w:space="0"/>
              <w:left w:val="single" w:color="auto" w:sz="4" w:space="0"/>
              <w:bottom w:val="single" w:color="auto" w:sz="4" w:space="0"/>
              <w:right w:val="single" w:color="auto" w:sz="4" w:space="0"/>
            </w:tcBorders>
            <w:noWrap w:val="0"/>
            <w:vAlign w:val="center"/>
          </w:tcPr>
          <w:p w14:paraId="6BBC23F1">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444" w:type="pct"/>
            <w:tcBorders>
              <w:top w:val="single" w:color="auto" w:sz="4" w:space="0"/>
              <w:left w:val="single" w:color="auto" w:sz="4" w:space="0"/>
              <w:bottom w:val="single" w:color="auto" w:sz="4" w:space="0"/>
              <w:right w:val="single" w:color="auto" w:sz="4" w:space="0"/>
            </w:tcBorders>
            <w:noWrap w:val="0"/>
            <w:vAlign w:val="center"/>
          </w:tcPr>
          <w:p w14:paraId="6A74371C">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451" w:type="pct"/>
            <w:tcBorders>
              <w:top w:val="single" w:color="auto" w:sz="4" w:space="0"/>
              <w:left w:val="single" w:color="auto" w:sz="4" w:space="0"/>
              <w:bottom w:val="single" w:color="auto" w:sz="4" w:space="0"/>
              <w:right w:val="single" w:color="auto" w:sz="4" w:space="0"/>
            </w:tcBorders>
            <w:noWrap w:val="0"/>
            <w:vAlign w:val="center"/>
          </w:tcPr>
          <w:p w14:paraId="0188FDD7">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329" w:type="pct"/>
            <w:tcBorders>
              <w:top w:val="single" w:color="auto" w:sz="4" w:space="0"/>
              <w:left w:val="single" w:color="auto" w:sz="4" w:space="0"/>
              <w:bottom w:val="single" w:color="auto" w:sz="4" w:space="0"/>
              <w:right w:val="single" w:color="auto" w:sz="4" w:space="0"/>
            </w:tcBorders>
            <w:noWrap w:val="0"/>
            <w:vAlign w:val="center"/>
          </w:tcPr>
          <w:p w14:paraId="008E9BE7">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r>
      <w:tr w14:paraId="554CDEDE">
        <w:tblPrEx>
          <w:tblCellMar>
            <w:top w:w="0" w:type="dxa"/>
            <w:left w:w="0" w:type="dxa"/>
            <w:bottom w:w="0" w:type="dxa"/>
            <w:right w:w="0" w:type="dxa"/>
          </w:tblCellMar>
        </w:tblPrEx>
        <w:trPr>
          <w:trHeight w:val="555" w:hRule="atLeast"/>
          <w:jc w:val="center"/>
        </w:trPr>
        <w:tc>
          <w:tcPr>
            <w:tcW w:w="264"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4E72AB49">
            <w:pPr>
              <w:keepNext w:val="0"/>
              <w:keepLines w:val="0"/>
              <w:pageBreakBefore w:val="0"/>
              <w:widowControl w:val="0"/>
              <w:kinsoku/>
              <w:wordWrap/>
              <w:overflowPunct/>
              <w:topLinePunct w:val="0"/>
              <w:autoSpaceDE/>
              <w:autoSpaceDN/>
              <w:bidi w:val="0"/>
              <w:spacing w:line="300" w:lineRule="atLeast"/>
              <w:jc w:val="center"/>
              <w:textAlignment w:val="center"/>
              <w:rPr>
                <w:rFonts w:ascii="Times New Roman" w:hAnsi="Times New Roman" w:eastAsia="仿宋_GB2312"/>
                <w:sz w:val="24"/>
                <w:szCs w:val="24"/>
              </w:rPr>
            </w:pPr>
          </w:p>
        </w:tc>
        <w:tc>
          <w:tcPr>
            <w:tcW w:w="395"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0DEB1651">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311"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33CDD0FE">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395"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33462861">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359"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27DFD682">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368"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5A2C414E">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284" w:type="pct"/>
            <w:tcBorders>
              <w:top w:val="single" w:color="auto" w:sz="4" w:space="0"/>
              <w:left w:val="single" w:color="auto" w:sz="4" w:space="0"/>
              <w:bottom w:val="single" w:color="auto" w:sz="4" w:space="0"/>
              <w:right w:val="single" w:color="auto" w:sz="4" w:space="0"/>
            </w:tcBorders>
            <w:noWrap w:val="0"/>
            <w:vAlign w:val="center"/>
          </w:tcPr>
          <w:p w14:paraId="4E65F302">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262" w:type="pct"/>
            <w:tcBorders>
              <w:top w:val="single" w:color="auto" w:sz="4" w:space="0"/>
              <w:left w:val="single" w:color="auto" w:sz="4" w:space="0"/>
              <w:bottom w:val="single" w:color="auto" w:sz="4" w:space="0"/>
              <w:right w:val="single" w:color="auto" w:sz="4" w:space="0"/>
            </w:tcBorders>
            <w:noWrap w:val="0"/>
            <w:vAlign w:val="center"/>
          </w:tcPr>
          <w:p w14:paraId="10EE7542">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174" w:type="pct"/>
            <w:tcBorders>
              <w:top w:val="single" w:color="auto" w:sz="4" w:space="0"/>
              <w:left w:val="single" w:color="auto" w:sz="4" w:space="0"/>
              <w:bottom w:val="single" w:color="auto" w:sz="4" w:space="0"/>
              <w:right w:val="single" w:color="auto" w:sz="4" w:space="0"/>
            </w:tcBorders>
            <w:noWrap w:val="0"/>
            <w:vAlign w:val="center"/>
          </w:tcPr>
          <w:p w14:paraId="5C81E35B">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325" w:type="pct"/>
            <w:tcBorders>
              <w:top w:val="single" w:color="auto" w:sz="4" w:space="0"/>
              <w:left w:val="single" w:color="auto" w:sz="4" w:space="0"/>
              <w:bottom w:val="single" w:color="auto" w:sz="4" w:space="0"/>
              <w:right w:val="single" w:color="auto" w:sz="4" w:space="0"/>
            </w:tcBorders>
            <w:noWrap w:val="0"/>
            <w:vAlign w:val="center"/>
          </w:tcPr>
          <w:p w14:paraId="0850F989">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266" w:type="pct"/>
            <w:tcBorders>
              <w:top w:val="single" w:color="auto" w:sz="4" w:space="0"/>
              <w:left w:val="single" w:color="auto" w:sz="4" w:space="0"/>
              <w:bottom w:val="single" w:color="auto" w:sz="4" w:space="0"/>
              <w:right w:val="single" w:color="auto" w:sz="4" w:space="0"/>
            </w:tcBorders>
            <w:noWrap w:val="0"/>
            <w:vAlign w:val="center"/>
          </w:tcPr>
          <w:p w14:paraId="598422E3">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366" w:type="pct"/>
            <w:tcBorders>
              <w:top w:val="single" w:color="auto" w:sz="4" w:space="0"/>
              <w:left w:val="single" w:color="auto" w:sz="4" w:space="0"/>
              <w:bottom w:val="single" w:color="auto" w:sz="4" w:space="0"/>
              <w:right w:val="single" w:color="auto" w:sz="4" w:space="0"/>
            </w:tcBorders>
            <w:noWrap w:val="0"/>
            <w:vAlign w:val="center"/>
          </w:tcPr>
          <w:p w14:paraId="4803AF17">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444" w:type="pct"/>
            <w:tcBorders>
              <w:top w:val="single" w:color="auto" w:sz="4" w:space="0"/>
              <w:left w:val="single" w:color="auto" w:sz="4" w:space="0"/>
              <w:bottom w:val="single" w:color="auto" w:sz="4" w:space="0"/>
              <w:right w:val="single" w:color="auto" w:sz="4" w:space="0"/>
            </w:tcBorders>
            <w:noWrap w:val="0"/>
            <w:vAlign w:val="center"/>
          </w:tcPr>
          <w:p w14:paraId="782F80D5">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451" w:type="pct"/>
            <w:tcBorders>
              <w:top w:val="single" w:color="auto" w:sz="4" w:space="0"/>
              <w:left w:val="single" w:color="auto" w:sz="4" w:space="0"/>
              <w:bottom w:val="single" w:color="auto" w:sz="4" w:space="0"/>
              <w:right w:val="single" w:color="auto" w:sz="4" w:space="0"/>
            </w:tcBorders>
            <w:noWrap w:val="0"/>
            <w:vAlign w:val="center"/>
          </w:tcPr>
          <w:p w14:paraId="444B017F">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329" w:type="pct"/>
            <w:tcBorders>
              <w:top w:val="single" w:color="auto" w:sz="4" w:space="0"/>
              <w:left w:val="single" w:color="auto" w:sz="4" w:space="0"/>
              <w:bottom w:val="single" w:color="auto" w:sz="4" w:space="0"/>
              <w:right w:val="single" w:color="auto" w:sz="4" w:space="0"/>
            </w:tcBorders>
            <w:noWrap w:val="0"/>
            <w:vAlign w:val="center"/>
          </w:tcPr>
          <w:p w14:paraId="57EC4197">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r>
      <w:tr w14:paraId="77A3D04D">
        <w:tblPrEx>
          <w:tblCellMar>
            <w:top w:w="0" w:type="dxa"/>
            <w:left w:w="0" w:type="dxa"/>
            <w:bottom w:w="0" w:type="dxa"/>
            <w:right w:w="0" w:type="dxa"/>
          </w:tblCellMar>
        </w:tblPrEx>
        <w:trPr>
          <w:trHeight w:val="555" w:hRule="atLeast"/>
          <w:jc w:val="center"/>
        </w:trPr>
        <w:tc>
          <w:tcPr>
            <w:tcW w:w="264"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3FDC3059">
            <w:pPr>
              <w:keepNext w:val="0"/>
              <w:keepLines w:val="0"/>
              <w:pageBreakBefore w:val="0"/>
              <w:widowControl w:val="0"/>
              <w:kinsoku/>
              <w:wordWrap/>
              <w:overflowPunct/>
              <w:topLinePunct w:val="0"/>
              <w:autoSpaceDE/>
              <w:autoSpaceDN/>
              <w:bidi w:val="0"/>
              <w:spacing w:line="300" w:lineRule="atLeast"/>
              <w:jc w:val="center"/>
              <w:textAlignment w:val="center"/>
              <w:rPr>
                <w:rFonts w:ascii="Times New Roman" w:hAnsi="Times New Roman" w:eastAsia="仿宋_GB2312"/>
                <w:sz w:val="24"/>
                <w:szCs w:val="24"/>
              </w:rPr>
            </w:pPr>
          </w:p>
        </w:tc>
        <w:tc>
          <w:tcPr>
            <w:tcW w:w="395"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4859CABB">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311"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2FAEEB23">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395"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56BC18AA">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359"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40A8753A">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368"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4BAB9AE9">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284" w:type="pct"/>
            <w:tcBorders>
              <w:top w:val="single" w:color="auto" w:sz="4" w:space="0"/>
              <w:left w:val="single" w:color="auto" w:sz="4" w:space="0"/>
              <w:bottom w:val="single" w:color="auto" w:sz="4" w:space="0"/>
              <w:right w:val="single" w:color="auto" w:sz="4" w:space="0"/>
            </w:tcBorders>
            <w:noWrap w:val="0"/>
            <w:vAlign w:val="center"/>
          </w:tcPr>
          <w:p w14:paraId="217FCB67">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262" w:type="pct"/>
            <w:tcBorders>
              <w:top w:val="single" w:color="auto" w:sz="4" w:space="0"/>
              <w:left w:val="single" w:color="auto" w:sz="4" w:space="0"/>
              <w:bottom w:val="single" w:color="auto" w:sz="4" w:space="0"/>
              <w:right w:val="single" w:color="auto" w:sz="4" w:space="0"/>
            </w:tcBorders>
            <w:noWrap w:val="0"/>
            <w:vAlign w:val="center"/>
          </w:tcPr>
          <w:p w14:paraId="2AAA6E6C">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174" w:type="pct"/>
            <w:tcBorders>
              <w:top w:val="single" w:color="auto" w:sz="4" w:space="0"/>
              <w:left w:val="single" w:color="auto" w:sz="4" w:space="0"/>
              <w:bottom w:val="single" w:color="auto" w:sz="4" w:space="0"/>
              <w:right w:val="single" w:color="auto" w:sz="4" w:space="0"/>
            </w:tcBorders>
            <w:noWrap w:val="0"/>
            <w:vAlign w:val="center"/>
          </w:tcPr>
          <w:p w14:paraId="05238F5A">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325" w:type="pct"/>
            <w:tcBorders>
              <w:top w:val="single" w:color="auto" w:sz="4" w:space="0"/>
              <w:left w:val="single" w:color="auto" w:sz="4" w:space="0"/>
              <w:bottom w:val="single" w:color="auto" w:sz="4" w:space="0"/>
              <w:right w:val="single" w:color="auto" w:sz="4" w:space="0"/>
            </w:tcBorders>
            <w:noWrap w:val="0"/>
            <w:vAlign w:val="center"/>
          </w:tcPr>
          <w:p w14:paraId="59668071">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266" w:type="pct"/>
            <w:tcBorders>
              <w:top w:val="single" w:color="auto" w:sz="4" w:space="0"/>
              <w:left w:val="single" w:color="auto" w:sz="4" w:space="0"/>
              <w:bottom w:val="single" w:color="auto" w:sz="4" w:space="0"/>
              <w:right w:val="single" w:color="auto" w:sz="4" w:space="0"/>
            </w:tcBorders>
            <w:noWrap w:val="0"/>
            <w:vAlign w:val="center"/>
          </w:tcPr>
          <w:p w14:paraId="1FE632F5">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366" w:type="pct"/>
            <w:tcBorders>
              <w:top w:val="single" w:color="auto" w:sz="4" w:space="0"/>
              <w:left w:val="single" w:color="auto" w:sz="4" w:space="0"/>
              <w:bottom w:val="single" w:color="auto" w:sz="4" w:space="0"/>
              <w:right w:val="single" w:color="auto" w:sz="4" w:space="0"/>
            </w:tcBorders>
            <w:noWrap w:val="0"/>
            <w:vAlign w:val="center"/>
          </w:tcPr>
          <w:p w14:paraId="151F9F2D">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444" w:type="pct"/>
            <w:tcBorders>
              <w:top w:val="single" w:color="auto" w:sz="4" w:space="0"/>
              <w:left w:val="single" w:color="auto" w:sz="4" w:space="0"/>
              <w:bottom w:val="single" w:color="auto" w:sz="4" w:space="0"/>
              <w:right w:val="single" w:color="auto" w:sz="4" w:space="0"/>
            </w:tcBorders>
            <w:noWrap w:val="0"/>
            <w:vAlign w:val="center"/>
          </w:tcPr>
          <w:p w14:paraId="5BD07569">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451" w:type="pct"/>
            <w:tcBorders>
              <w:top w:val="single" w:color="auto" w:sz="4" w:space="0"/>
              <w:left w:val="single" w:color="auto" w:sz="4" w:space="0"/>
              <w:bottom w:val="single" w:color="auto" w:sz="4" w:space="0"/>
              <w:right w:val="single" w:color="auto" w:sz="4" w:space="0"/>
            </w:tcBorders>
            <w:noWrap w:val="0"/>
            <w:vAlign w:val="center"/>
          </w:tcPr>
          <w:p w14:paraId="35D589B6">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329" w:type="pct"/>
            <w:tcBorders>
              <w:top w:val="single" w:color="auto" w:sz="4" w:space="0"/>
              <w:left w:val="single" w:color="auto" w:sz="4" w:space="0"/>
              <w:bottom w:val="single" w:color="auto" w:sz="4" w:space="0"/>
              <w:right w:val="single" w:color="auto" w:sz="4" w:space="0"/>
            </w:tcBorders>
            <w:noWrap w:val="0"/>
            <w:vAlign w:val="center"/>
          </w:tcPr>
          <w:p w14:paraId="6ACC70E4">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r>
      <w:tr w14:paraId="169A2898">
        <w:tblPrEx>
          <w:tblCellMar>
            <w:top w:w="0" w:type="dxa"/>
            <w:left w:w="0" w:type="dxa"/>
            <w:bottom w:w="0" w:type="dxa"/>
            <w:right w:w="0" w:type="dxa"/>
          </w:tblCellMar>
        </w:tblPrEx>
        <w:trPr>
          <w:trHeight w:val="555" w:hRule="atLeast"/>
          <w:jc w:val="center"/>
        </w:trPr>
        <w:tc>
          <w:tcPr>
            <w:tcW w:w="264"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5CBE11F0">
            <w:pPr>
              <w:keepNext w:val="0"/>
              <w:keepLines w:val="0"/>
              <w:pageBreakBefore w:val="0"/>
              <w:widowControl w:val="0"/>
              <w:kinsoku/>
              <w:wordWrap/>
              <w:overflowPunct/>
              <w:topLinePunct w:val="0"/>
              <w:autoSpaceDE/>
              <w:autoSpaceDN/>
              <w:bidi w:val="0"/>
              <w:spacing w:line="300" w:lineRule="atLeast"/>
              <w:jc w:val="center"/>
              <w:textAlignment w:val="center"/>
              <w:rPr>
                <w:rFonts w:ascii="Times New Roman" w:hAnsi="Times New Roman" w:eastAsia="仿宋_GB2312"/>
                <w:sz w:val="24"/>
                <w:szCs w:val="24"/>
              </w:rPr>
            </w:pPr>
          </w:p>
        </w:tc>
        <w:tc>
          <w:tcPr>
            <w:tcW w:w="395"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27D1AC20">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311"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1E671725">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395"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5A1958B1">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359"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7CB0655E">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368" w:type="pct"/>
            <w:tcBorders>
              <w:top w:val="single" w:color="auto" w:sz="4" w:space="0"/>
              <w:left w:val="single" w:color="auto" w:sz="4" w:space="0"/>
              <w:bottom w:val="single" w:color="auto" w:sz="4" w:space="0"/>
              <w:right w:val="single" w:color="auto" w:sz="4" w:space="0"/>
            </w:tcBorders>
            <w:noWrap w:val="0"/>
            <w:tcMar>
              <w:bottom w:w="0" w:type="dxa"/>
            </w:tcMar>
            <w:vAlign w:val="center"/>
          </w:tcPr>
          <w:p w14:paraId="56170884">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284" w:type="pct"/>
            <w:tcBorders>
              <w:top w:val="single" w:color="auto" w:sz="4" w:space="0"/>
              <w:left w:val="single" w:color="auto" w:sz="4" w:space="0"/>
              <w:bottom w:val="single" w:color="auto" w:sz="4" w:space="0"/>
              <w:right w:val="single" w:color="auto" w:sz="4" w:space="0"/>
            </w:tcBorders>
            <w:noWrap w:val="0"/>
            <w:vAlign w:val="center"/>
          </w:tcPr>
          <w:p w14:paraId="5181CE5B">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262" w:type="pct"/>
            <w:tcBorders>
              <w:top w:val="single" w:color="auto" w:sz="4" w:space="0"/>
              <w:left w:val="single" w:color="auto" w:sz="4" w:space="0"/>
              <w:bottom w:val="single" w:color="auto" w:sz="4" w:space="0"/>
              <w:right w:val="single" w:color="auto" w:sz="4" w:space="0"/>
            </w:tcBorders>
            <w:noWrap w:val="0"/>
            <w:vAlign w:val="center"/>
          </w:tcPr>
          <w:p w14:paraId="6546E92C">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174" w:type="pct"/>
            <w:tcBorders>
              <w:top w:val="single" w:color="auto" w:sz="4" w:space="0"/>
              <w:left w:val="single" w:color="auto" w:sz="4" w:space="0"/>
              <w:bottom w:val="single" w:color="auto" w:sz="4" w:space="0"/>
              <w:right w:val="single" w:color="auto" w:sz="4" w:space="0"/>
            </w:tcBorders>
            <w:noWrap w:val="0"/>
            <w:vAlign w:val="center"/>
          </w:tcPr>
          <w:p w14:paraId="15A9C03A">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325" w:type="pct"/>
            <w:tcBorders>
              <w:top w:val="single" w:color="auto" w:sz="4" w:space="0"/>
              <w:left w:val="single" w:color="auto" w:sz="4" w:space="0"/>
              <w:bottom w:val="single" w:color="auto" w:sz="4" w:space="0"/>
              <w:right w:val="single" w:color="auto" w:sz="4" w:space="0"/>
            </w:tcBorders>
            <w:noWrap w:val="0"/>
            <w:vAlign w:val="center"/>
          </w:tcPr>
          <w:p w14:paraId="543D08DB">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266" w:type="pct"/>
            <w:tcBorders>
              <w:top w:val="single" w:color="auto" w:sz="4" w:space="0"/>
              <w:left w:val="single" w:color="auto" w:sz="4" w:space="0"/>
              <w:bottom w:val="single" w:color="auto" w:sz="4" w:space="0"/>
              <w:right w:val="single" w:color="auto" w:sz="4" w:space="0"/>
            </w:tcBorders>
            <w:noWrap w:val="0"/>
            <w:vAlign w:val="center"/>
          </w:tcPr>
          <w:p w14:paraId="60C73C8F">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366" w:type="pct"/>
            <w:tcBorders>
              <w:top w:val="single" w:color="auto" w:sz="4" w:space="0"/>
              <w:left w:val="single" w:color="auto" w:sz="4" w:space="0"/>
              <w:bottom w:val="single" w:color="auto" w:sz="4" w:space="0"/>
              <w:right w:val="single" w:color="auto" w:sz="4" w:space="0"/>
            </w:tcBorders>
            <w:noWrap w:val="0"/>
            <w:vAlign w:val="center"/>
          </w:tcPr>
          <w:p w14:paraId="2BB4E60B">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444" w:type="pct"/>
            <w:tcBorders>
              <w:top w:val="single" w:color="auto" w:sz="4" w:space="0"/>
              <w:left w:val="single" w:color="auto" w:sz="4" w:space="0"/>
              <w:bottom w:val="single" w:color="auto" w:sz="4" w:space="0"/>
              <w:right w:val="single" w:color="auto" w:sz="4" w:space="0"/>
            </w:tcBorders>
            <w:noWrap w:val="0"/>
            <w:vAlign w:val="center"/>
          </w:tcPr>
          <w:p w14:paraId="114E905A">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451" w:type="pct"/>
            <w:tcBorders>
              <w:top w:val="single" w:color="auto" w:sz="4" w:space="0"/>
              <w:left w:val="single" w:color="auto" w:sz="4" w:space="0"/>
              <w:bottom w:val="single" w:color="auto" w:sz="4" w:space="0"/>
              <w:right w:val="single" w:color="auto" w:sz="4" w:space="0"/>
            </w:tcBorders>
            <w:noWrap w:val="0"/>
            <w:vAlign w:val="center"/>
          </w:tcPr>
          <w:p w14:paraId="17A46CED">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c>
          <w:tcPr>
            <w:tcW w:w="329" w:type="pct"/>
            <w:tcBorders>
              <w:top w:val="single" w:color="auto" w:sz="4" w:space="0"/>
              <w:left w:val="single" w:color="auto" w:sz="4" w:space="0"/>
              <w:bottom w:val="single" w:color="auto" w:sz="4" w:space="0"/>
              <w:right w:val="single" w:color="auto" w:sz="4" w:space="0"/>
            </w:tcBorders>
            <w:noWrap w:val="0"/>
            <w:vAlign w:val="center"/>
          </w:tcPr>
          <w:p w14:paraId="7BF9834F">
            <w:pPr>
              <w:keepNext w:val="0"/>
              <w:keepLines w:val="0"/>
              <w:pageBreakBefore w:val="0"/>
              <w:widowControl w:val="0"/>
              <w:kinsoku/>
              <w:wordWrap/>
              <w:overflowPunct/>
              <w:topLinePunct w:val="0"/>
              <w:autoSpaceDE/>
              <w:autoSpaceDN/>
              <w:bidi w:val="0"/>
              <w:spacing w:line="300" w:lineRule="atLeast"/>
              <w:jc w:val="center"/>
              <w:rPr>
                <w:rFonts w:ascii="Times New Roman" w:hAnsi="Times New Roman" w:eastAsia="仿宋_GB2312"/>
                <w:sz w:val="24"/>
                <w:szCs w:val="24"/>
              </w:rPr>
            </w:pPr>
          </w:p>
        </w:tc>
      </w:tr>
    </w:tbl>
    <w:p w14:paraId="10663CEB">
      <w:pPr>
        <w:keepNext w:val="0"/>
        <w:keepLines w:val="0"/>
        <w:pageBreakBefore w:val="0"/>
        <w:widowControl w:val="0"/>
        <w:kinsoku/>
        <w:wordWrap/>
        <w:overflowPunct/>
        <w:topLinePunct w:val="0"/>
        <w:autoSpaceDE/>
        <w:autoSpaceDN/>
        <w:bidi w:val="0"/>
        <w:adjustRightInd w:val="0"/>
        <w:snapToGrid w:val="0"/>
        <w:spacing w:line="360" w:lineRule="auto"/>
        <w:jc w:val="left"/>
        <w:rPr>
          <w:rFonts w:ascii="Times New Roman" w:hAnsi="Times New Roman" w:eastAsia="仿宋_GB2312"/>
          <w:sz w:val="28"/>
          <w:szCs w:val="28"/>
        </w:rPr>
      </w:pPr>
    </w:p>
    <w:p w14:paraId="3B10FA83">
      <w:pPr>
        <w:keepNext w:val="0"/>
        <w:keepLines w:val="0"/>
        <w:pageBreakBefore w:val="0"/>
        <w:widowControl w:val="0"/>
        <w:kinsoku/>
        <w:wordWrap/>
        <w:overflowPunct/>
        <w:topLinePunct w:val="0"/>
        <w:autoSpaceDE/>
        <w:autoSpaceDN/>
        <w:bidi w:val="0"/>
        <w:adjustRightInd w:val="0"/>
        <w:snapToGrid w:val="0"/>
        <w:spacing w:line="360" w:lineRule="auto"/>
        <w:jc w:val="left"/>
        <w:rPr>
          <w:rFonts w:hint="default" w:eastAsia="仿宋_GB2312"/>
          <w:lang w:val="en-US" w:eastAsia="zh-CN"/>
        </w:rPr>
      </w:pPr>
      <w:r>
        <w:rPr>
          <w:rFonts w:ascii="Times New Roman" w:hAnsi="Times New Roman" w:eastAsia="仿宋_GB2312"/>
          <w:sz w:val="28"/>
          <w:szCs w:val="28"/>
        </w:rPr>
        <w:t xml:space="preserve">   </w:t>
      </w:r>
      <w:r>
        <w:rPr>
          <w:rFonts w:hint="eastAsia" w:ascii="Times New Roman" w:hAnsi="Times New Roman" w:eastAsia="仿宋_GB2312"/>
          <w:sz w:val="28"/>
          <w:szCs w:val="28"/>
          <w:lang w:eastAsia="zh-CN"/>
        </w:rPr>
        <w:t>负责人</w:t>
      </w:r>
      <w:r>
        <w:rPr>
          <w:rFonts w:hint="eastAsia" w:ascii="Times New Roman" w:hAnsi="Times New Roman" w:eastAsia="仿宋_GB2312"/>
          <w:sz w:val="28"/>
          <w:szCs w:val="28"/>
        </w:rPr>
        <w:t xml:space="preserve">： </w:t>
      </w:r>
      <w:r>
        <w:rPr>
          <w:rFonts w:ascii="Times New Roman" w:hAnsi="Times New Roman" w:eastAsia="仿宋_GB2312"/>
          <w:sz w:val="28"/>
          <w:szCs w:val="28"/>
        </w:rPr>
        <w:t xml:space="preserve">                 </w:t>
      </w:r>
      <w:r>
        <w:rPr>
          <w:rFonts w:hint="eastAsia" w:ascii="Times New Roman" w:hAnsi="Times New Roman" w:eastAsia="仿宋_GB2312"/>
          <w:sz w:val="28"/>
          <w:szCs w:val="28"/>
          <w:lang w:eastAsia="zh-CN"/>
        </w:rPr>
        <w:t>填报人：</w:t>
      </w:r>
      <w:r>
        <w:rPr>
          <w:rFonts w:ascii="Times New Roman" w:hAnsi="Times New Roman" w:eastAsia="仿宋_GB2312"/>
          <w:sz w:val="28"/>
          <w:szCs w:val="28"/>
        </w:rPr>
        <w:t xml:space="preserve">                    </w:t>
      </w:r>
      <w:r>
        <w:rPr>
          <w:rFonts w:hint="eastAsia" w:ascii="Times New Roman" w:hAnsi="Times New Roman" w:eastAsia="仿宋_GB2312"/>
          <w:sz w:val="28"/>
          <w:szCs w:val="28"/>
        </w:rPr>
        <w:t>联系电话：</w:t>
      </w:r>
      <w:r>
        <w:rPr>
          <w:rFonts w:hint="eastAsia" w:ascii="Times New Roman" w:hAnsi="Times New Roman" w:eastAsia="仿宋_GB2312"/>
          <w:sz w:val="28"/>
          <w:szCs w:val="28"/>
          <w:lang w:val="en-US" w:eastAsia="zh-CN"/>
        </w:rPr>
        <w:t xml:space="preserve">             </w:t>
      </w:r>
    </w:p>
    <w:bookmarkEnd w:id="1"/>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方正楷体简体">
    <w:altName w:val="楷体"/>
    <w:panose1 w:val="02000000000000000000"/>
    <w:charset w:val="86"/>
    <w:family w:val="auto"/>
    <w:pitch w:val="default"/>
    <w:sig w:usb0="00000000" w:usb1="00000000" w:usb2="00000012" w:usb3="00000000" w:csb0="00040001" w:csb1="00000000"/>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C32F0">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06049C">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06049C">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YxZmY1MWNlZGJkZGQ5OTE0MGE1YWZlMjkxMGRjOWUifQ=="/>
  </w:docVars>
  <w:rsids>
    <w:rsidRoot w:val="00AB3911"/>
    <w:rsid w:val="0003360D"/>
    <w:rsid w:val="00086062"/>
    <w:rsid w:val="000A20B9"/>
    <w:rsid w:val="000A791E"/>
    <w:rsid w:val="000B56B4"/>
    <w:rsid w:val="000D5E02"/>
    <w:rsid w:val="001077B1"/>
    <w:rsid w:val="00116666"/>
    <w:rsid w:val="00146AD9"/>
    <w:rsid w:val="001652F1"/>
    <w:rsid w:val="00180112"/>
    <w:rsid w:val="00191A6A"/>
    <w:rsid w:val="001B6A97"/>
    <w:rsid w:val="001D568B"/>
    <w:rsid w:val="001E770F"/>
    <w:rsid w:val="001F2023"/>
    <w:rsid w:val="001F2E84"/>
    <w:rsid w:val="0022225C"/>
    <w:rsid w:val="0022351C"/>
    <w:rsid w:val="0026271E"/>
    <w:rsid w:val="00287AE2"/>
    <w:rsid w:val="00291E74"/>
    <w:rsid w:val="00297761"/>
    <w:rsid w:val="002A4A9E"/>
    <w:rsid w:val="002A6343"/>
    <w:rsid w:val="002C457B"/>
    <w:rsid w:val="002E7B35"/>
    <w:rsid w:val="003232A5"/>
    <w:rsid w:val="00392747"/>
    <w:rsid w:val="003A71E0"/>
    <w:rsid w:val="003B68B6"/>
    <w:rsid w:val="003C1694"/>
    <w:rsid w:val="003D08DF"/>
    <w:rsid w:val="00430894"/>
    <w:rsid w:val="00476D1D"/>
    <w:rsid w:val="00485C83"/>
    <w:rsid w:val="004D04BA"/>
    <w:rsid w:val="004E18BC"/>
    <w:rsid w:val="004E4712"/>
    <w:rsid w:val="004F0A10"/>
    <w:rsid w:val="00505418"/>
    <w:rsid w:val="00552378"/>
    <w:rsid w:val="00585166"/>
    <w:rsid w:val="00592535"/>
    <w:rsid w:val="005940C6"/>
    <w:rsid w:val="00594805"/>
    <w:rsid w:val="005B5E01"/>
    <w:rsid w:val="005E1190"/>
    <w:rsid w:val="006463A4"/>
    <w:rsid w:val="00650FB4"/>
    <w:rsid w:val="006512A8"/>
    <w:rsid w:val="006700D7"/>
    <w:rsid w:val="006804F6"/>
    <w:rsid w:val="00691423"/>
    <w:rsid w:val="00692F33"/>
    <w:rsid w:val="006A4D98"/>
    <w:rsid w:val="006B167E"/>
    <w:rsid w:val="006C50E8"/>
    <w:rsid w:val="006D572C"/>
    <w:rsid w:val="006E746B"/>
    <w:rsid w:val="00723871"/>
    <w:rsid w:val="00725873"/>
    <w:rsid w:val="00740717"/>
    <w:rsid w:val="00770027"/>
    <w:rsid w:val="00800E7D"/>
    <w:rsid w:val="0085101B"/>
    <w:rsid w:val="00860AB8"/>
    <w:rsid w:val="008706DB"/>
    <w:rsid w:val="008B1E40"/>
    <w:rsid w:val="008B217A"/>
    <w:rsid w:val="008E724A"/>
    <w:rsid w:val="008F72D9"/>
    <w:rsid w:val="00906D3C"/>
    <w:rsid w:val="00927521"/>
    <w:rsid w:val="009420FC"/>
    <w:rsid w:val="009665B0"/>
    <w:rsid w:val="0098208F"/>
    <w:rsid w:val="00993A8B"/>
    <w:rsid w:val="009D4559"/>
    <w:rsid w:val="009D5717"/>
    <w:rsid w:val="00A579C3"/>
    <w:rsid w:val="00A777C7"/>
    <w:rsid w:val="00A868DB"/>
    <w:rsid w:val="00AB3911"/>
    <w:rsid w:val="00AB3E8E"/>
    <w:rsid w:val="00AE7B74"/>
    <w:rsid w:val="00AF111F"/>
    <w:rsid w:val="00B15EC8"/>
    <w:rsid w:val="00B357B3"/>
    <w:rsid w:val="00BB5152"/>
    <w:rsid w:val="00BC7136"/>
    <w:rsid w:val="00C40FA7"/>
    <w:rsid w:val="00C55390"/>
    <w:rsid w:val="00C66BA4"/>
    <w:rsid w:val="00C66CF4"/>
    <w:rsid w:val="00C70CE8"/>
    <w:rsid w:val="00C90FBE"/>
    <w:rsid w:val="00C961B9"/>
    <w:rsid w:val="00CD7C41"/>
    <w:rsid w:val="00CE08B4"/>
    <w:rsid w:val="00CF49F8"/>
    <w:rsid w:val="00D3097E"/>
    <w:rsid w:val="00D32804"/>
    <w:rsid w:val="00D452A6"/>
    <w:rsid w:val="00D70B51"/>
    <w:rsid w:val="00D81E3A"/>
    <w:rsid w:val="00D90F41"/>
    <w:rsid w:val="00D91909"/>
    <w:rsid w:val="00DA4C40"/>
    <w:rsid w:val="00DC151C"/>
    <w:rsid w:val="00DD58AB"/>
    <w:rsid w:val="00DD7EEC"/>
    <w:rsid w:val="00DF0623"/>
    <w:rsid w:val="00E151FE"/>
    <w:rsid w:val="00E34DC9"/>
    <w:rsid w:val="00E3737E"/>
    <w:rsid w:val="00E37842"/>
    <w:rsid w:val="00E410D6"/>
    <w:rsid w:val="00E46AA6"/>
    <w:rsid w:val="00E857F2"/>
    <w:rsid w:val="00EA1AAE"/>
    <w:rsid w:val="00EB3B03"/>
    <w:rsid w:val="00EB5BC1"/>
    <w:rsid w:val="00ED39A7"/>
    <w:rsid w:val="00EE673F"/>
    <w:rsid w:val="00EF11FE"/>
    <w:rsid w:val="00F2163F"/>
    <w:rsid w:val="00F35FD5"/>
    <w:rsid w:val="00F418A3"/>
    <w:rsid w:val="00F85FC0"/>
    <w:rsid w:val="00F87E06"/>
    <w:rsid w:val="00FF29C6"/>
    <w:rsid w:val="012C48F6"/>
    <w:rsid w:val="015A6FC3"/>
    <w:rsid w:val="01D57336"/>
    <w:rsid w:val="020B0137"/>
    <w:rsid w:val="02175BEE"/>
    <w:rsid w:val="02794276"/>
    <w:rsid w:val="028233D1"/>
    <w:rsid w:val="02A13E66"/>
    <w:rsid w:val="02E5100F"/>
    <w:rsid w:val="03B63A56"/>
    <w:rsid w:val="044E0E32"/>
    <w:rsid w:val="04880B06"/>
    <w:rsid w:val="05DE0F08"/>
    <w:rsid w:val="061B3570"/>
    <w:rsid w:val="078F7797"/>
    <w:rsid w:val="085C742A"/>
    <w:rsid w:val="08F473B8"/>
    <w:rsid w:val="0A1778B0"/>
    <w:rsid w:val="0A5440F6"/>
    <w:rsid w:val="0A721EAA"/>
    <w:rsid w:val="0A9D21CB"/>
    <w:rsid w:val="0AB54563"/>
    <w:rsid w:val="0AB84B21"/>
    <w:rsid w:val="0AB91107"/>
    <w:rsid w:val="0BD24B1E"/>
    <w:rsid w:val="0C035F42"/>
    <w:rsid w:val="0C191052"/>
    <w:rsid w:val="0D7338B9"/>
    <w:rsid w:val="0D8D3872"/>
    <w:rsid w:val="0DDB5610"/>
    <w:rsid w:val="0DE540FD"/>
    <w:rsid w:val="0E157ECD"/>
    <w:rsid w:val="0E434D4C"/>
    <w:rsid w:val="0E443A10"/>
    <w:rsid w:val="0E8D41AB"/>
    <w:rsid w:val="0F636654"/>
    <w:rsid w:val="0FD3569A"/>
    <w:rsid w:val="10A67900"/>
    <w:rsid w:val="111E393A"/>
    <w:rsid w:val="131D2011"/>
    <w:rsid w:val="140F2F49"/>
    <w:rsid w:val="15D67358"/>
    <w:rsid w:val="16496B4A"/>
    <w:rsid w:val="16DF0D20"/>
    <w:rsid w:val="1703138E"/>
    <w:rsid w:val="18A137CE"/>
    <w:rsid w:val="19632832"/>
    <w:rsid w:val="1B351FAC"/>
    <w:rsid w:val="1B9B4505"/>
    <w:rsid w:val="1BA132C7"/>
    <w:rsid w:val="1CDB77CB"/>
    <w:rsid w:val="1D414207"/>
    <w:rsid w:val="1DCA1E79"/>
    <w:rsid w:val="1E8E4A76"/>
    <w:rsid w:val="1EFD54D7"/>
    <w:rsid w:val="1FD04999"/>
    <w:rsid w:val="20BF542D"/>
    <w:rsid w:val="20EA7F71"/>
    <w:rsid w:val="21093D59"/>
    <w:rsid w:val="21FE134A"/>
    <w:rsid w:val="220D65EE"/>
    <w:rsid w:val="225E44DE"/>
    <w:rsid w:val="22A10E8E"/>
    <w:rsid w:val="22B8599C"/>
    <w:rsid w:val="22C13766"/>
    <w:rsid w:val="2304632B"/>
    <w:rsid w:val="23160915"/>
    <w:rsid w:val="23452FA8"/>
    <w:rsid w:val="23922BDF"/>
    <w:rsid w:val="241A0CCA"/>
    <w:rsid w:val="24766752"/>
    <w:rsid w:val="24C73AD0"/>
    <w:rsid w:val="25602998"/>
    <w:rsid w:val="25C44E60"/>
    <w:rsid w:val="26694CB8"/>
    <w:rsid w:val="268D3C48"/>
    <w:rsid w:val="27420E8D"/>
    <w:rsid w:val="27B10C0F"/>
    <w:rsid w:val="28220ABC"/>
    <w:rsid w:val="28C055AB"/>
    <w:rsid w:val="28C50E13"/>
    <w:rsid w:val="28F53651"/>
    <w:rsid w:val="29A75555"/>
    <w:rsid w:val="2A834AE2"/>
    <w:rsid w:val="2A8F68A4"/>
    <w:rsid w:val="2A946A5B"/>
    <w:rsid w:val="2AE6346D"/>
    <w:rsid w:val="2B890E9B"/>
    <w:rsid w:val="2BD82C0B"/>
    <w:rsid w:val="2C1D51AA"/>
    <w:rsid w:val="2C363DD6"/>
    <w:rsid w:val="2DD536C3"/>
    <w:rsid w:val="2E6654C8"/>
    <w:rsid w:val="2F2B4182"/>
    <w:rsid w:val="2F413864"/>
    <w:rsid w:val="2F860840"/>
    <w:rsid w:val="314B32CD"/>
    <w:rsid w:val="31A30355"/>
    <w:rsid w:val="31A80E61"/>
    <w:rsid w:val="31B1462B"/>
    <w:rsid w:val="31EB0195"/>
    <w:rsid w:val="31F86910"/>
    <w:rsid w:val="32004C6A"/>
    <w:rsid w:val="334F534E"/>
    <w:rsid w:val="335D7010"/>
    <w:rsid w:val="34A90588"/>
    <w:rsid w:val="354A7F3E"/>
    <w:rsid w:val="354D1DB2"/>
    <w:rsid w:val="356E3825"/>
    <w:rsid w:val="359B6FA8"/>
    <w:rsid w:val="35B32C2A"/>
    <w:rsid w:val="35E44BE1"/>
    <w:rsid w:val="36716136"/>
    <w:rsid w:val="372D6E3F"/>
    <w:rsid w:val="37311A34"/>
    <w:rsid w:val="373B003D"/>
    <w:rsid w:val="37441A9D"/>
    <w:rsid w:val="377E3AD8"/>
    <w:rsid w:val="390A2DA5"/>
    <w:rsid w:val="396C6233"/>
    <w:rsid w:val="39852023"/>
    <w:rsid w:val="39D57AFF"/>
    <w:rsid w:val="39E906DA"/>
    <w:rsid w:val="3AA06EC0"/>
    <w:rsid w:val="3B0532F1"/>
    <w:rsid w:val="3C8A1D00"/>
    <w:rsid w:val="3D2408A6"/>
    <w:rsid w:val="3D7D531F"/>
    <w:rsid w:val="3D8E6F9A"/>
    <w:rsid w:val="3DFA5023"/>
    <w:rsid w:val="3EACCE63"/>
    <w:rsid w:val="3F822483"/>
    <w:rsid w:val="406F1488"/>
    <w:rsid w:val="40EB4400"/>
    <w:rsid w:val="41642659"/>
    <w:rsid w:val="42AE25C5"/>
    <w:rsid w:val="43F233CE"/>
    <w:rsid w:val="442C202A"/>
    <w:rsid w:val="44651A7C"/>
    <w:rsid w:val="449A0F4E"/>
    <w:rsid w:val="45AA78B4"/>
    <w:rsid w:val="45BE6DD1"/>
    <w:rsid w:val="46C003B5"/>
    <w:rsid w:val="46C8548D"/>
    <w:rsid w:val="4715759B"/>
    <w:rsid w:val="48147269"/>
    <w:rsid w:val="48965ED0"/>
    <w:rsid w:val="48B72687"/>
    <w:rsid w:val="48F47C11"/>
    <w:rsid w:val="493704AF"/>
    <w:rsid w:val="49717568"/>
    <w:rsid w:val="4A1C1382"/>
    <w:rsid w:val="4C555243"/>
    <w:rsid w:val="4C8A0068"/>
    <w:rsid w:val="4CCF26C8"/>
    <w:rsid w:val="4D033362"/>
    <w:rsid w:val="4D105DA0"/>
    <w:rsid w:val="4DD0130A"/>
    <w:rsid w:val="4E772F0B"/>
    <w:rsid w:val="4F813436"/>
    <w:rsid w:val="4FA33607"/>
    <w:rsid w:val="5060769D"/>
    <w:rsid w:val="506D761C"/>
    <w:rsid w:val="50824BED"/>
    <w:rsid w:val="516B0F23"/>
    <w:rsid w:val="52A12347"/>
    <w:rsid w:val="53503D85"/>
    <w:rsid w:val="5354124D"/>
    <w:rsid w:val="541B5AFB"/>
    <w:rsid w:val="54372316"/>
    <w:rsid w:val="547B03F1"/>
    <w:rsid w:val="5555098B"/>
    <w:rsid w:val="55614AF6"/>
    <w:rsid w:val="559D479D"/>
    <w:rsid w:val="55A41C4E"/>
    <w:rsid w:val="55CF27F4"/>
    <w:rsid w:val="56150435"/>
    <w:rsid w:val="573445AF"/>
    <w:rsid w:val="579F4CE9"/>
    <w:rsid w:val="57A3703F"/>
    <w:rsid w:val="57D41EB8"/>
    <w:rsid w:val="591A2165"/>
    <w:rsid w:val="596809EA"/>
    <w:rsid w:val="59B83EF9"/>
    <w:rsid w:val="59BA330C"/>
    <w:rsid w:val="5A3773DC"/>
    <w:rsid w:val="5A5E4449"/>
    <w:rsid w:val="5A8042EB"/>
    <w:rsid w:val="5AFA1D3E"/>
    <w:rsid w:val="5B036715"/>
    <w:rsid w:val="5B6223E3"/>
    <w:rsid w:val="5B7B51DE"/>
    <w:rsid w:val="5BA31C23"/>
    <w:rsid w:val="5C824F23"/>
    <w:rsid w:val="5C8E614E"/>
    <w:rsid w:val="5D496F8F"/>
    <w:rsid w:val="5D783B77"/>
    <w:rsid w:val="5D9A535A"/>
    <w:rsid w:val="5DF5102F"/>
    <w:rsid w:val="5E581806"/>
    <w:rsid w:val="5E59388D"/>
    <w:rsid w:val="5ECA653F"/>
    <w:rsid w:val="5EDC09DE"/>
    <w:rsid w:val="5F881330"/>
    <w:rsid w:val="5FA62A45"/>
    <w:rsid w:val="5FFD76B6"/>
    <w:rsid w:val="606A5821"/>
    <w:rsid w:val="60D96A82"/>
    <w:rsid w:val="61080F00"/>
    <w:rsid w:val="6126217F"/>
    <w:rsid w:val="61AD1977"/>
    <w:rsid w:val="623D7F83"/>
    <w:rsid w:val="6261136A"/>
    <w:rsid w:val="626C5B2B"/>
    <w:rsid w:val="62764951"/>
    <w:rsid w:val="62A0536D"/>
    <w:rsid w:val="62AD7971"/>
    <w:rsid w:val="63791282"/>
    <w:rsid w:val="641206A9"/>
    <w:rsid w:val="64D8544F"/>
    <w:rsid w:val="65BE5407"/>
    <w:rsid w:val="65D40E26"/>
    <w:rsid w:val="66C12AA5"/>
    <w:rsid w:val="69B33D95"/>
    <w:rsid w:val="69D33DDB"/>
    <w:rsid w:val="6A11699C"/>
    <w:rsid w:val="6A7FC9C3"/>
    <w:rsid w:val="6A9B0F3B"/>
    <w:rsid w:val="6B0D6C3B"/>
    <w:rsid w:val="6BAA7419"/>
    <w:rsid w:val="6BE718BC"/>
    <w:rsid w:val="6C192965"/>
    <w:rsid w:val="6C285B7D"/>
    <w:rsid w:val="6C5437FF"/>
    <w:rsid w:val="6D2F7873"/>
    <w:rsid w:val="6DB95B3D"/>
    <w:rsid w:val="6DE50F90"/>
    <w:rsid w:val="6F0D5F6A"/>
    <w:rsid w:val="6F44174D"/>
    <w:rsid w:val="6F9DBEF3"/>
    <w:rsid w:val="6FC538EA"/>
    <w:rsid w:val="704A4D27"/>
    <w:rsid w:val="70AF2B81"/>
    <w:rsid w:val="71974225"/>
    <w:rsid w:val="73171B8B"/>
    <w:rsid w:val="73546D29"/>
    <w:rsid w:val="73737F1D"/>
    <w:rsid w:val="73880040"/>
    <w:rsid w:val="73A41210"/>
    <w:rsid w:val="74137E1B"/>
    <w:rsid w:val="74892CB5"/>
    <w:rsid w:val="74DD4A15"/>
    <w:rsid w:val="753F3AD3"/>
    <w:rsid w:val="754735BF"/>
    <w:rsid w:val="75D91F21"/>
    <w:rsid w:val="764765FC"/>
    <w:rsid w:val="768A40CF"/>
    <w:rsid w:val="76AA4771"/>
    <w:rsid w:val="76B85032"/>
    <w:rsid w:val="77FC06C8"/>
    <w:rsid w:val="789F3140"/>
    <w:rsid w:val="78B106E1"/>
    <w:rsid w:val="78C252E8"/>
    <w:rsid w:val="78D675BC"/>
    <w:rsid w:val="78EA7BCA"/>
    <w:rsid w:val="796055BB"/>
    <w:rsid w:val="79A83C49"/>
    <w:rsid w:val="7A101473"/>
    <w:rsid w:val="7A136810"/>
    <w:rsid w:val="7B8154AC"/>
    <w:rsid w:val="7B8A74C6"/>
    <w:rsid w:val="7BB423A6"/>
    <w:rsid w:val="7BBFDF01"/>
    <w:rsid w:val="7BEFC35D"/>
    <w:rsid w:val="7BFFA6C7"/>
    <w:rsid w:val="7C1B34B9"/>
    <w:rsid w:val="7D184A5F"/>
    <w:rsid w:val="7F4F6C1B"/>
    <w:rsid w:val="7FBD0B1C"/>
    <w:rsid w:val="7FF76C79"/>
    <w:rsid w:val="AEFF2119"/>
    <w:rsid w:val="DFEF2784"/>
    <w:rsid w:val="FEBF745F"/>
    <w:rsid w:val="FF0EA187"/>
    <w:rsid w:val="FF7F7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14"/>
    <w:unhideWhenUsed/>
    <w:qFormat/>
    <w:uiPriority w:val="9"/>
    <w:pPr>
      <w:keepNext/>
      <w:keepLines/>
      <w:spacing w:before="260" w:after="260" w:line="416" w:lineRule="auto"/>
      <w:outlineLvl w:val="1"/>
    </w:pPr>
    <w:rPr>
      <w:rFonts w:ascii="宋体" w:eastAsia="宋体" w:hAnsiTheme="majorHAnsi" w:cstheme="majorBidi"/>
      <w:b/>
      <w:bCs/>
      <w:sz w:val="30"/>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99"/>
    <w:pPr>
      <w:snapToGrid w:val="0"/>
      <w:spacing w:line="640" w:lineRule="exact"/>
      <w:ind w:firstLine="705"/>
    </w:pPr>
    <w:rPr>
      <w:rFonts w:ascii="仿宋_GB2312" w:hAnsi="Times New Roman" w:eastAsia="仿宋_GB2312" w:cs="仿宋_GB2312"/>
      <w:color w:val="000000"/>
      <w:sz w:val="36"/>
      <w:szCs w:val="36"/>
    </w:rPr>
  </w:style>
  <w:style w:type="paragraph" w:styleId="4">
    <w:name w:val="annotation text"/>
    <w:basedOn w:val="1"/>
    <w:link w:val="17"/>
    <w:semiHidden/>
    <w:unhideWhenUsed/>
    <w:qFormat/>
    <w:uiPriority w:val="99"/>
    <w:pPr>
      <w:jc w:val="left"/>
    </w:pPr>
  </w:style>
  <w:style w:type="paragraph" w:styleId="5">
    <w:name w:val="Body Text"/>
    <w:basedOn w:val="1"/>
    <w:qFormat/>
    <w:uiPriority w:val="0"/>
    <w:pPr>
      <w:spacing w:before="0" w:after="140" w:line="276" w:lineRule="auto"/>
    </w:pPr>
  </w:style>
  <w:style w:type="paragraph" w:styleId="6">
    <w:name w:val="Balloon Text"/>
    <w:basedOn w:val="1"/>
    <w:link w:val="19"/>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annotation subject"/>
    <w:basedOn w:val="4"/>
    <w:next w:val="4"/>
    <w:link w:val="18"/>
    <w:semiHidden/>
    <w:unhideWhenUsed/>
    <w:qFormat/>
    <w:uiPriority w:val="99"/>
    <w:rPr>
      <w:b/>
      <w:bCs/>
    </w:rPr>
  </w:style>
  <w:style w:type="character" w:styleId="13">
    <w:name w:val="annotation reference"/>
    <w:basedOn w:val="12"/>
    <w:semiHidden/>
    <w:unhideWhenUsed/>
    <w:qFormat/>
    <w:uiPriority w:val="99"/>
    <w:rPr>
      <w:sz w:val="21"/>
      <w:szCs w:val="21"/>
    </w:rPr>
  </w:style>
  <w:style w:type="character" w:customStyle="1" w:styleId="14">
    <w:name w:val="标题 2 字符"/>
    <w:basedOn w:val="12"/>
    <w:link w:val="3"/>
    <w:qFormat/>
    <w:uiPriority w:val="9"/>
    <w:rPr>
      <w:rFonts w:ascii="宋体" w:eastAsia="宋体" w:hAnsiTheme="majorHAnsi" w:cstheme="majorBidi"/>
      <w:b/>
      <w:bCs/>
      <w:sz w:val="30"/>
      <w:szCs w:val="32"/>
    </w:rPr>
  </w:style>
  <w:style w:type="character" w:customStyle="1" w:styleId="15">
    <w:name w:val="页眉 字符"/>
    <w:basedOn w:val="12"/>
    <w:link w:val="8"/>
    <w:qFormat/>
    <w:uiPriority w:val="99"/>
    <w:rPr>
      <w:sz w:val="18"/>
      <w:szCs w:val="18"/>
    </w:rPr>
  </w:style>
  <w:style w:type="character" w:customStyle="1" w:styleId="16">
    <w:name w:val="页脚 字符"/>
    <w:basedOn w:val="12"/>
    <w:link w:val="7"/>
    <w:qFormat/>
    <w:uiPriority w:val="99"/>
    <w:rPr>
      <w:sz w:val="18"/>
      <w:szCs w:val="18"/>
    </w:rPr>
  </w:style>
  <w:style w:type="character" w:customStyle="1" w:styleId="17">
    <w:name w:val="批注文字 字符"/>
    <w:basedOn w:val="12"/>
    <w:link w:val="4"/>
    <w:semiHidden/>
    <w:qFormat/>
    <w:uiPriority w:val="99"/>
  </w:style>
  <w:style w:type="character" w:customStyle="1" w:styleId="18">
    <w:name w:val="批注主题 字符"/>
    <w:basedOn w:val="17"/>
    <w:link w:val="10"/>
    <w:semiHidden/>
    <w:qFormat/>
    <w:uiPriority w:val="99"/>
    <w:rPr>
      <w:b/>
      <w:bCs/>
    </w:rPr>
  </w:style>
  <w:style w:type="character" w:customStyle="1" w:styleId="19">
    <w:name w:val="批注框文本 字符"/>
    <w:basedOn w:val="12"/>
    <w:link w:val="6"/>
    <w:semiHidden/>
    <w:qFormat/>
    <w:uiPriority w:val="99"/>
    <w:rPr>
      <w:sz w:val="18"/>
      <w:szCs w:val="18"/>
    </w:rPr>
  </w:style>
  <w:style w:type="paragraph" w:customStyle="1" w:styleId="20">
    <w:name w:val="Default"/>
    <w:qFormat/>
    <w:uiPriority w:val="0"/>
    <w:pPr>
      <w:widowControl w:val="0"/>
      <w:autoSpaceDE w:val="0"/>
      <w:autoSpaceDN w:val="0"/>
      <w:adjustRightInd w:val="0"/>
    </w:pPr>
    <w:rPr>
      <w:rFonts w:ascii="微软雅黑" w:eastAsia="微软雅黑" w:cs="微软雅黑"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Company>
  <Pages>9</Pages>
  <Words>3076</Words>
  <Characters>3086</Characters>
  <Lines>22</Lines>
  <Paragraphs>6</Paragraphs>
  <TotalTime>25</TotalTime>
  <ScaleCrop>false</ScaleCrop>
  <LinksUpToDate>false</LinksUpToDate>
  <CharactersWithSpaces>3233</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2024-04-24T07:28:00Z</dcterms:created>
  <dc:creator>WM</dc:creator>
  <cp:lastModifiedBy>行之</cp:lastModifiedBy>
  <dcterms:modified xsi:type="dcterms:W3CDTF">2024-10-23T03:17:38Z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BCBC673719764ECC9A0734A0A3921A76_13</vt:lpwstr>
  </property>
</Properties>
</file>