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color w:val="auto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auto"/>
          <w:spacing w:val="0"/>
          <w:sz w:val="31"/>
          <w:szCs w:val="31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举报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违法违规使用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医疗保障基金奖励审批表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95"/>
        <w:textAlignment w:val="auto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编号：</w:t>
      </w:r>
    </w:p>
    <w:tbl>
      <w:tblPr>
        <w:tblStyle w:val="5"/>
        <w:tblW w:w="83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2"/>
        <w:gridCol w:w="1938"/>
        <w:gridCol w:w="2186"/>
        <w:gridCol w:w="18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举报人姓名</w:t>
            </w:r>
          </w:p>
        </w:tc>
        <w:tc>
          <w:tcPr>
            <w:tcW w:w="19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2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身份证号码或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身份识别信息</w:t>
            </w:r>
          </w:p>
        </w:tc>
        <w:tc>
          <w:tcPr>
            <w:tcW w:w="1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立案日期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结案日期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案件（宗）编号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开户行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账号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举报内容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案件查处情况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  <w:jc w:val="center"/>
        </w:trPr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基金监管机构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奖励建议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经核查，举报人举报的违法违规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eastAsia="zh-CN"/>
              </w:rPr>
              <w:t>使用医疗保障基金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行为属实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查实违法违规金额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元。根据《山东省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eastAsia="zh-CN"/>
              </w:rPr>
              <w:t>违法违规使用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医疗保障基金举报奖励实施细则》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，应按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％给予奖励，建议奖励金额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元，大写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元。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6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  <w:jc w:val="center"/>
        </w:trPr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局领导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审批意见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righ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jIyN2VjZThjZWU5ZTI3MWE3MTQwYzczMDI3MmEifQ=="/>
  </w:docVars>
  <w:rsids>
    <w:rsidRoot w:val="00000000"/>
    <w:rsid w:val="671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 w:line="360" w:lineRule="auto"/>
      <w:ind w:firstLine="200" w:firstLineChars="200"/>
      <w:jc w:val="left"/>
    </w:pPr>
    <w:rPr>
      <w:rFonts w:ascii="Calibri" w:hAnsi="Times New Roman" w:eastAsia="Calibri" w:cs="Times New Roman"/>
      <w:b/>
      <w:bCs/>
      <w:caps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2023-03-07T01:34:37Z</dcterms:created>
  <dc:creator>Administrator</dc:creator>
  <cp:lastModifiedBy>星邪影月</cp:lastModifiedBy>
  <dcterms:modified xsi:type="dcterms:W3CDTF">2023-03-07T01:34:47Z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47127231C3A54886B46DC5E7E9EA63A4</vt:lpwstr>
  </property>
</Properties>
</file>