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905F4">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黑体" w:hAnsi="黑体" w:eastAsia="黑体" w:cs="黑体"/>
          <w:sz w:val="32"/>
          <w:szCs w:val="32"/>
          <w:highlight w:val="none"/>
          <w:lang w:eastAsia="zh-CN" w:bidi="ar"/>
        </w:rPr>
      </w:pPr>
      <w:r>
        <w:rPr>
          <w:rFonts w:hint="eastAsia" w:ascii="黑体" w:hAnsi="黑体" w:eastAsia="黑体" w:cs="黑体"/>
          <w:sz w:val="32"/>
          <w:szCs w:val="32"/>
          <w:highlight w:val="none"/>
          <w:lang w:bidi="ar"/>
        </w:rPr>
        <w:t>附件</w:t>
      </w:r>
      <w:r>
        <w:rPr>
          <w:rFonts w:hint="eastAsia" w:ascii="黑体" w:hAnsi="黑体" w:eastAsia="黑体" w:cs="黑体"/>
          <w:sz w:val="32"/>
          <w:szCs w:val="32"/>
          <w:highlight w:val="none"/>
          <w:lang w:val="en-US" w:eastAsia="zh-CN" w:bidi="ar"/>
        </w:rPr>
        <w:t>1</w:t>
      </w:r>
    </w:p>
    <w:p w14:paraId="1A84C451">
      <w:pPr>
        <w:keepNext w:val="0"/>
        <w:keepLines w:val="0"/>
        <w:pageBreakBefore w:val="0"/>
        <w:widowControl/>
        <w:kinsoku/>
        <w:overflowPunct/>
        <w:topLinePunct w:val="0"/>
        <w:autoSpaceDE/>
        <w:autoSpaceDN/>
        <w:bidi w:val="0"/>
        <w:adjustRightInd/>
        <w:snapToGrid/>
        <w:spacing w:line="590" w:lineRule="exact"/>
        <w:ind w:firstLine="880" w:firstLineChars="200"/>
        <w:jc w:val="center"/>
        <w:rPr>
          <w:rFonts w:hint="eastAsia" w:ascii="方正小标宋简体" w:hAnsi="方正小标宋简体" w:eastAsia="方正小标宋简体" w:cs="方正小标宋简体"/>
          <w:sz w:val="44"/>
          <w:szCs w:val="44"/>
          <w:highlight w:val="none"/>
          <w:lang w:bidi="ar"/>
        </w:rPr>
      </w:pPr>
      <w:bookmarkStart w:id="0" w:name="_GoBack"/>
      <w:r>
        <w:rPr>
          <w:rFonts w:hint="eastAsia" w:ascii="方正小标宋简体" w:hAnsi="方正小标宋简体" w:eastAsia="方正小标宋简体" w:cs="方正小标宋简体"/>
          <w:sz w:val="44"/>
          <w:szCs w:val="44"/>
          <w:highlight w:val="none"/>
          <w:lang w:bidi="ar"/>
        </w:rPr>
        <w:t>定点医疗机构医保信用评价</w:t>
      </w:r>
      <w:r>
        <w:rPr>
          <w:rFonts w:hint="eastAsia" w:ascii="方正小标宋简体" w:hAnsi="方正小标宋简体" w:eastAsia="方正小标宋简体" w:cs="方正小标宋简体"/>
          <w:sz w:val="44"/>
          <w:szCs w:val="44"/>
          <w:highlight w:val="none"/>
          <w:lang w:eastAsia="zh-CN" w:bidi="ar"/>
        </w:rPr>
        <w:t>推荐</w:t>
      </w:r>
      <w:r>
        <w:rPr>
          <w:rFonts w:hint="eastAsia" w:ascii="方正小标宋简体" w:hAnsi="方正小标宋简体" w:eastAsia="方正小标宋简体" w:cs="方正小标宋简体"/>
          <w:sz w:val="44"/>
          <w:szCs w:val="44"/>
          <w:highlight w:val="none"/>
          <w:lang w:bidi="ar"/>
        </w:rPr>
        <w:t>指标</w:t>
      </w:r>
      <w:bookmarkEnd w:id="0"/>
    </w:p>
    <w:p w14:paraId="07E4A196">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rPr>
      </w:pPr>
    </w:p>
    <w:tbl>
      <w:tblPr>
        <w:tblStyle w:val="4"/>
        <w:tblW w:w="4845" w:type="pct"/>
        <w:jc w:val="center"/>
        <w:tblLayout w:type="fixed"/>
        <w:tblCellMar>
          <w:top w:w="0" w:type="dxa"/>
          <w:left w:w="108" w:type="dxa"/>
          <w:bottom w:w="0" w:type="dxa"/>
          <w:right w:w="108" w:type="dxa"/>
        </w:tblCellMar>
      </w:tblPr>
      <w:tblGrid>
        <w:gridCol w:w="777"/>
        <w:gridCol w:w="762"/>
        <w:gridCol w:w="782"/>
        <w:gridCol w:w="1317"/>
        <w:gridCol w:w="1183"/>
        <w:gridCol w:w="8914"/>
      </w:tblGrid>
      <w:tr w14:paraId="18DBCD79">
        <w:tblPrEx>
          <w:tblCellMar>
            <w:top w:w="0" w:type="dxa"/>
            <w:left w:w="108" w:type="dxa"/>
            <w:bottom w:w="0" w:type="dxa"/>
            <w:right w:w="108" w:type="dxa"/>
          </w:tblCellMar>
        </w:tblPrEx>
        <w:trPr>
          <w:trHeight w:val="540" w:hRule="atLeast"/>
          <w:tblHeader/>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2F5EE9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一级指标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A27C0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二级指标</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3BB6C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序号</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5B8A7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三级指标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04BE2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指标性质</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35B9D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黑体" w:hAnsi="黑体" w:eastAsia="黑体" w:cs="黑体"/>
                <w:color w:val="000000"/>
                <w:kern w:val="0"/>
                <w:sz w:val="22"/>
                <w:highlight w:val="none"/>
                <w:lang w:bidi="ar"/>
              </w:rPr>
            </w:pPr>
            <w:r>
              <w:rPr>
                <w:rFonts w:hint="eastAsia" w:ascii="黑体" w:hAnsi="黑体" w:eastAsia="黑体" w:cs="黑体"/>
                <w:color w:val="000000"/>
                <w:kern w:val="0"/>
                <w:sz w:val="22"/>
                <w:highlight w:val="none"/>
                <w:lang w:bidi="ar"/>
              </w:rPr>
              <w:t>评价内容及要求</w:t>
            </w:r>
          </w:p>
        </w:tc>
      </w:tr>
      <w:tr w14:paraId="78126917">
        <w:tblPrEx>
          <w:tblCellMar>
            <w:top w:w="0" w:type="dxa"/>
            <w:left w:w="108" w:type="dxa"/>
            <w:bottom w:w="0" w:type="dxa"/>
            <w:right w:w="108" w:type="dxa"/>
          </w:tblCellMar>
        </w:tblPrEx>
        <w:trPr>
          <w:trHeight w:val="90" w:hRule="atLeast"/>
          <w:jc w:val="center"/>
        </w:trPr>
        <w:tc>
          <w:tcPr>
            <w:tcW w:w="282" w:type="pct"/>
            <w:vMerge w:val="restart"/>
            <w:tcBorders>
              <w:top w:val="single" w:color="000000" w:sz="4" w:space="0"/>
              <w:left w:val="single" w:color="000000" w:sz="4" w:space="0"/>
              <w:right w:val="single" w:color="000000" w:sz="4" w:space="0"/>
            </w:tcBorders>
            <w:noWrap w:val="0"/>
            <w:vAlign w:val="center"/>
          </w:tcPr>
          <w:p w14:paraId="575DF1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07CEDC0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061DD5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314C41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6AF1C6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17B373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60ACDD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23FA4A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w:t>
            </w:r>
          </w:p>
          <w:p w14:paraId="44A213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履行</w:t>
            </w:r>
          </w:p>
          <w:p w14:paraId="1BD24D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2EAAC4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718A34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759DD5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287E3D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5AB5E3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5A4004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5BAE88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1D8744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75FD9477">
            <w:pPr>
              <w:pStyle w:val="2"/>
              <w:rPr>
                <w:rFonts w:hint="eastAsia" w:ascii="仿宋_GB2312" w:hAnsi="仿宋_GB2312" w:eastAsia="仿宋_GB2312" w:cs="仿宋_GB2312"/>
                <w:color w:val="000000"/>
                <w:kern w:val="0"/>
                <w:sz w:val="22"/>
                <w:highlight w:val="none"/>
                <w:lang w:bidi="ar"/>
              </w:rPr>
            </w:pPr>
          </w:p>
          <w:p w14:paraId="590FB5F7">
            <w:pPr>
              <w:rPr>
                <w:rFonts w:hint="eastAsia" w:ascii="仿宋_GB2312" w:hAnsi="仿宋_GB2312" w:eastAsia="仿宋_GB2312" w:cs="仿宋_GB2312"/>
                <w:color w:val="000000"/>
                <w:kern w:val="0"/>
                <w:sz w:val="22"/>
                <w:highlight w:val="none"/>
                <w:lang w:bidi="ar"/>
              </w:rPr>
            </w:pPr>
          </w:p>
          <w:p w14:paraId="2DF13E71">
            <w:pPr>
              <w:pStyle w:val="2"/>
              <w:rPr>
                <w:rFonts w:hint="eastAsia" w:ascii="仿宋_GB2312" w:hAnsi="仿宋_GB2312" w:eastAsia="仿宋_GB2312" w:cs="仿宋_GB2312"/>
                <w:color w:val="000000"/>
                <w:kern w:val="0"/>
                <w:sz w:val="22"/>
                <w:highlight w:val="none"/>
                <w:lang w:bidi="ar"/>
              </w:rPr>
            </w:pPr>
          </w:p>
          <w:p w14:paraId="580C29D2">
            <w:pPr>
              <w:rPr>
                <w:rFonts w:hint="eastAsia"/>
              </w:rPr>
            </w:pPr>
          </w:p>
          <w:p w14:paraId="3B5FC6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p w14:paraId="15D7100E">
            <w:pPr>
              <w:pStyle w:val="2"/>
              <w:rPr>
                <w:rFonts w:hint="eastAsia" w:ascii="仿宋_GB2312" w:hAnsi="仿宋_GB2312" w:eastAsia="仿宋_GB2312" w:cs="仿宋_GB2312"/>
                <w:color w:val="000000"/>
                <w:kern w:val="0"/>
                <w:sz w:val="22"/>
                <w:highlight w:val="none"/>
                <w:lang w:bidi="ar"/>
              </w:rPr>
            </w:pPr>
          </w:p>
          <w:p w14:paraId="52AD93D8">
            <w:pPr>
              <w:rPr>
                <w:rFonts w:hint="eastAsia" w:ascii="仿宋_GB2312" w:hAnsi="仿宋_GB2312" w:eastAsia="仿宋_GB2312" w:cs="仿宋_GB2312"/>
                <w:color w:val="000000"/>
                <w:kern w:val="0"/>
                <w:sz w:val="22"/>
                <w:highlight w:val="none"/>
                <w:lang w:bidi="ar"/>
              </w:rPr>
            </w:pPr>
          </w:p>
          <w:p w14:paraId="5EBA01BB">
            <w:pPr>
              <w:pStyle w:val="2"/>
              <w:rPr>
                <w:rFonts w:hint="eastAsia" w:ascii="仿宋_GB2312" w:hAnsi="仿宋_GB2312" w:eastAsia="仿宋_GB2312" w:cs="仿宋_GB2312"/>
                <w:color w:val="000000"/>
                <w:kern w:val="0"/>
                <w:sz w:val="22"/>
                <w:highlight w:val="none"/>
                <w:lang w:bidi="ar"/>
              </w:rPr>
            </w:pPr>
          </w:p>
          <w:p w14:paraId="7B96CEFD">
            <w:pPr>
              <w:rPr>
                <w:rFonts w:hint="eastAsia" w:ascii="仿宋_GB2312" w:hAnsi="仿宋_GB2312" w:eastAsia="仿宋_GB2312" w:cs="仿宋_GB2312"/>
                <w:color w:val="000000"/>
                <w:kern w:val="0"/>
                <w:sz w:val="22"/>
                <w:highlight w:val="none"/>
                <w:lang w:bidi="ar"/>
              </w:rPr>
            </w:pPr>
          </w:p>
          <w:p w14:paraId="627CEEC7">
            <w:pPr>
              <w:pStyle w:val="2"/>
              <w:rPr>
                <w:rFonts w:hint="eastAsia" w:ascii="仿宋_GB2312" w:hAnsi="仿宋_GB2312" w:eastAsia="仿宋_GB2312" w:cs="仿宋_GB2312"/>
                <w:color w:val="000000"/>
                <w:kern w:val="0"/>
                <w:sz w:val="22"/>
                <w:highlight w:val="none"/>
                <w:lang w:bidi="ar"/>
              </w:rPr>
            </w:pPr>
          </w:p>
          <w:p w14:paraId="15596A66">
            <w:pPr>
              <w:rPr>
                <w:rFonts w:hint="eastAsia" w:ascii="仿宋_GB2312" w:hAnsi="仿宋_GB2312" w:eastAsia="仿宋_GB2312" w:cs="仿宋_GB2312"/>
                <w:color w:val="000000"/>
                <w:kern w:val="0"/>
                <w:sz w:val="22"/>
                <w:highlight w:val="none"/>
                <w:lang w:bidi="ar"/>
              </w:rPr>
            </w:pPr>
          </w:p>
          <w:p w14:paraId="3F27A463">
            <w:pPr>
              <w:pStyle w:val="2"/>
              <w:rPr>
                <w:rFonts w:hint="eastAsia" w:ascii="仿宋_GB2312" w:hAnsi="仿宋_GB2312" w:eastAsia="仿宋_GB2312" w:cs="仿宋_GB2312"/>
                <w:color w:val="000000"/>
                <w:kern w:val="0"/>
                <w:sz w:val="22"/>
                <w:highlight w:val="none"/>
                <w:lang w:bidi="ar"/>
              </w:rPr>
            </w:pPr>
          </w:p>
          <w:p w14:paraId="4D1428E3">
            <w:pPr>
              <w:rPr>
                <w:rFonts w:hint="eastAsia" w:ascii="仿宋_GB2312" w:hAnsi="仿宋_GB2312" w:eastAsia="仿宋_GB2312" w:cs="仿宋_GB2312"/>
                <w:color w:val="000000"/>
                <w:kern w:val="0"/>
                <w:sz w:val="22"/>
                <w:highlight w:val="none"/>
                <w:lang w:bidi="ar"/>
              </w:rPr>
            </w:pPr>
          </w:p>
          <w:p w14:paraId="45BD157C">
            <w:pPr>
              <w:pStyle w:val="2"/>
              <w:rPr>
                <w:rFonts w:hint="eastAsia" w:ascii="仿宋_GB2312" w:hAnsi="仿宋_GB2312" w:eastAsia="仿宋_GB2312" w:cs="仿宋_GB2312"/>
                <w:color w:val="000000"/>
                <w:kern w:val="0"/>
                <w:sz w:val="22"/>
                <w:highlight w:val="none"/>
                <w:lang w:bidi="ar"/>
              </w:rPr>
            </w:pPr>
          </w:p>
          <w:p w14:paraId="12D1B4D9">
            <w:pPr>
              <w:rPr>
                <w:rFonts w:hint="eastAsia" w:ascii="仿宋_GB2312" w:hAnsi="仿宋_GB2312" w:eastAsia="仿宋_GB2312" w:cs="仿宋_GB2312"/>
                <w:color w:val="000000"/>
                <w:kern w:val="0"/>
                <w:sz w:val="22"/>
                <w:highlight w:val="none"/>
                <w:lang w:bidi="ar"/>
              </w:rPr>
            </w:pPr>
          </w:p>
          <w:p w14:paraId="244A041B">
            <w:pPr>
              <w:pStyle w:val="2"/>
              <w:rPr>
                <w:rFonts w:hint="eastAsia" w:ascii="仿宋_GB2312" w:hAnsi="仿宋_GB2312" w:eastAsia="仿宋_GB2312" w:cs="仿宋_GB2312"/>
                <w:color w:val="000000"/>
                <w:kern w:val="0"/>
                <w:sz w:val="22"/>
                <w:highlight w:val="none"/>
                <w:lang w:bidi="ar"/>
              </w:rPr>
            </w:pPr>
          </w:p>
          <w:p w14:paraId="6EDA5271">
            <w:pPr>
              <w:jc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p w14:paraId="5764F8F0">
            <w:pPr>
              <w:pStyle w:val="2"/>
              <w:rPr>
                <w:rFonts w:hint="eastAsia" w:ascii="仿宋_GB2312" w:hAnsi="仿宋_GB2312" w:eastAsia="仿宋_GB2312" w:cs="仿宋_GB2312"/>
                <w:color w:val="000000"/>
                <w:kern w:val="0"/>
                <w:sz w:val="22"/>
                <w:highlight w:val="none"/>
                <w:lang w:bidi="ar"/>
              </w:rPr>
            </w:pPr>
          </w:p>
          <w:p w14:paraId="4EBB34B8">
            <w:pPr>
              <w:rPr>
                <w:rFonts w:hint="eastAsia" w:ascii="仿宋_GB2312" w:hAnsi="仿宋_GB2312" w:eastAsia="仿宋_GB2312" w:cs="仿宋_GB2312"/>
                <w:color w:val="000000"/>
                <w:kern w:val="0"/>
                <w:sz w:val="22"/>
                <w:highlight w:val="none"/>
                <w:lang w:bidi="ar"/>
              </w:rPr>
            </w:pPr>
          </w:p>
          <w:p w14:paraId="482A491C">
            <w:pPr>
              <w:pStyle w:val="2"/>
              <w:rPr>
                <w:rFonts w:hint="eastAsia" w:ascii="仿宋_GB2312" w:hAnsi="仿宋_GB2312" w:eastAsia="仿宋_GB2312" w:cs="仿宋_GB2312"/>
                <w:color w:val="000000"/>
                <w:kern w:val="0"/>
                <w:sz w:val="22"/>
                <w:highlight w:val="none"/>
                <w:lang w:bidi="ar"/>
              </w:rPr>
            </w:pPr>
          </w:p>
          <w:p w14:paraId="48954125">
            <w:pPr>
              <w:rPr>
                <w:rFonts w:hint="eastAsia" w:ascii="仿宋_GB2312" w:hAnsi="仿宋_GB2312" w:eastAsia="仿宋_GB2312" w:cs="仿宋_GB2312"/>
                <w:color w:val="000000"/>
                <w:kern w:val="0"/>
                <w:sz w:val="22"/>
                <w:highlight w:val="none"/>
                <w:lang w:bidi="ar"/>
              </w:rPr>
            </w:pPr>
          </w:p>
          <w:p w14:paraId="2FD2CB6D">
            <w:pPr>
              <w:pStyle w:val="2"/>
              <w:rPr>
                <w:rFonts w:hint="eastAsia" w:ascii="仿宋_GB2312" w:hAnsi="仿宋_GB2312" w:eastAsia="仿宋_GB2312" w:cs="仿宋_GB2312"/>
                <w:color w:val="000000"/>
                <w:kern w:val="0"/>
                <w:sz w:val="22"/>
                <w:highlight w:val="none"/>
                <w:lang w:bidi="ar"/>
              </w:rPr>
            </w:pPr>
          </w:p>
          <w:p w14:paraId="3C6E500E">
            <w:pPr>
              <w:rPr>
                <w:rFonts w:hint="eastAsia" w:ascii="仿宋_GB2312" w:hAnsi="仿宋_GB2312" w:eastAsia="仿宋_GB2312" w:cs="仿宋_GB2312"/>
                <w:color w:val="000000"/>
                <w:kern w:val="0"/>
                <w:sz w:val="22"/>
                <w:highlight w:val="none"/>
                <w:lang w:bidi="ar"/>
              </w:rPr>
            </w:pPr>
          </w:p>
          <w:p w14:paraId="59FC7733">
            <w:pPr>
              <w:pStyle w:val="2"/>
              <w:rPr>
                <w:rFonts w:hint="eastAsia" w:ascii="仿宋_GB2312" w:hAnsi="仿宋_GB2312" w:eastAsia="仿宋_GB2312" w:cs="仿宋_GB2312"/>
                <w:color w:val="000000"/>
                <w:kern w:val="0"/>
                <w:sz w:val="22"/>
                <w:highlight w:val="none"/>
                <w:lang w:bidi="ar"/>
              </w:rPr>
            </w:pPr>
          </w:p>
          <w:p w14:paraId="4D0E49A5">
            <w:pPr>
              <w:rPr>
                <w:rFonts w:hint="eastAsia" w:ascii="仿宋_GB2312" w:hAnsi="仿宋_GB2312" w:eastAsia="仿宋_GB2312" w:cs="仿宋_GB2312"/>
                <w:color w:val="000000"/>
                <w:kern w:val="0"/>
                <w:sz w:val="22"/>
                <w:highlight w:val="none"/>
                <w:lang w:bidi="ar"/>
              </w:rPr>
            </w:pPr>
          </w:p>
          <w:p w14:paraId="4800E32E">
            <w:pPr>
              <w:pStyle w:val="2"/>
              <w:rPr>
                <w:rFonts w:hint="eastAsia" w:ascii="仿宋_GB2312" w:hAnsi="仿宋_GB2312" w:eastAsia="仿宋_GB2312" w:cs="仿宋_GB2312"/>
                <w:color w:val="000000"/>
                <w:kern w:val="0"/>
                <w:sz w:val="22"/>
                <w:highlight w:val="none"/>
                <w:lang w:bidi="ar"/>
              </w:rPr>
            </w:pPr>
          </w:p>
          <w:p w14:paraId="2712F99F">
            <w:pPr>
              <w:rPr>
                <w:rFonts w:hint="eastAsia" w:ascii="仿宋_GB2312" w:hAnsi="仿宋_GB2312" w:eastAsia="仿宋_GB2312" w:cs="仿宋_GB2312"/>
                <w:color w:val="000000"/>
                <w:kern w:val="0"/>
                <w:sz w:val="22"/>
                <w:highlight w:val="none"/>
                <w:lang w:bidi="ar"/>
              </w:rPr>
            </w:pPr>
          </w:p>
          <w:p w14:paraId="5B837AB7">
            <w:pPr>
              <w:rPr>
                <w:rFonts w:hint="eastAsia" w:ascii="仿宋_GB2312" w:hAnsi="仿宋_GB2312" w:eastAsia="仿宋_GB2312" w:cs="仿宋_GB2312"/>
                <w:color w:val="000000"/>
                <w:kern w:val="0"/>
                <w:sz w:val="22"/>
                <w:highlight w:val="none"/>
                <w:lang w:bidi="ar"/>
              </w:rPr>
            </w:pPr>
          </w:p>
          <w:p w14:paraId="22FB96C5">
            <w:pPr>
              <w:pStyle w:val="2"/>
              <w:rPr>
                <w:rFonts w:hint="eastAsia" w:ascii="仿宋_GB2312" w:hAnsi="仿宋_GB2312" w:eastAsia="仿宋_GB2312" w:cs="仿宋_GB2312"/>
                <w:color w:val="000000"/>
                <w:kern w:val="0"/>
                <w:sz w:val="22"/>
                <w:highlight w:val="none"/>
                <w:lang w:bidi="ar"/>
              </w:rPr>
            </w:pPr>
          </w:p>
          <w:p w14:paraId="26CD859C">
            <w:pPr>
              <w:jc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p w14:paraId="58FDBB60">
            <w:pPr>
              <w:pStyle w:val="2"/>
              <w:rPr>
                <w:rFonts w:hint="eastAsia" w:ascii="仿宋_GB2312" w:hAnsi="仿宋_GB2312" w:eastAsia="仿宋_GB2312" w:cs="仿宋_GB2312"/>
                <w:color w:val="000000"/>
                <w:kern w:val="0"/>
                <w:sz w:val="22"/>
                <w:highlight w:val="none"/>
                <w:lang w:bidi="ar"/>
              </w:rPr>
            </w:pPr>
          </w:p>
          <w:p w14:paraId="731FFC70">
            <w:pPr>
              <w:rPr>
                <w:rFonts w:hint="eastAsia" w:ascii="仿宋_GB2312" w:hAnsi="仿宋_GB2312" w:eastAsia="仿宋_GB2312" w:cs="仿宋_GB2312"/>
                <w:color w:val="000000"/>
                <w:kern w:val="0"/>
                <w:sz w:val="22"/>
                <w:highlight w:val="none"/>
                <w:lang w:bidi="ar"/>
              </w:rPr>
            </w:pPr>
          </w:p>
          <w:p w14:paraId="333C3E86">
            <w:pPr>
              <w:pStyle w:val="2"/>
              <w:rPr>
                <w:rFonts w:hint="eastAsia" w:ascii="仿宋_GB2312" w:hAnsi="仿宋_GB2312" w:eastAsia="仿宋_GB2312" w:cs="仿宋_GB2312"/>
                <w:color w:val="000000"/>
                <w:kern w:val="0"/>
                <w:sz w:val="22"/>
                <w:highlight w:val="none"/>
                <w:lang w:bidi="ar"/>
              </w:rPr>
            </w:pPr>
          </w:p>
          <w:p w14:paraId="4070F68B">
            <w:pPr>
              <w:rPr>
                <w:rFonts w:hint="eastAsia" w:ascii="仿宋_GB2312" w:hAnsi="仿宋_GB2312" w:eastAsia="仿宋_GB2312" w:cs="仿宋_GB2312"/>
                <w:color w:val="000000"/>
                <w:kern w:val="0"/>
                <w:sz w:val="22"/>
                <w:highlight w:val="none"/>
                <w:lang w:bidi="ar"/>
              </w:rPr>
            </w:pPr>
          </w:p>
          <w:p w14:paraId="21F2ED8E">
            <w:pPr>
              <w:pStyle w:val="2"/>
              <w:rPr>
                <w:rFonts w:hint="eastAsia" w:ascii="仿宋_GB2312" w:hAnsi="仿宋_GB2312" w:eastAsia="仿宋_GB2312" w:cs="仿宋_GB2312"/>
                <w:color w:val="000000"/>
                <w:kern w:val="0"/>
                <w:sz w:val="22"/>
                <w:highlight w:val="none"/>
                <w:lang w:bidi="ar"/>
              </w:rPr>
            </w:pPr>
          </w:p>
          <w:p w14:paraId="1FF8759C">
            <w:pPr>
              <w:rPr>
                <w:rFonts w:hint="eastAsia" w:ascii="仿宋_GB2312" w:hAnsi="仿宋_GB2312" w:eastAsia="仿宋_GB2312" w:cs="仿宋_GB2312"/>
                <w:color w:val="000000"/>
                <w:kern w:val="0"/>
                <w:sz w:val="22"/>
                <w:highlight w:val="none"/>
                <w:lang w:bidi="ar"/>
              </w:rPr>
            </w:pPr>
          </w:p>
          <w:p w14:paraId="12540991">
            <w:pPr>
              <w:pStyle w:val="2"/>
              <w:rPr>
                <w:rFonts w:hint="eastAsia" w:ascii="仿宋_GB2312" w:hAnsi="仿宋_GB2312" w:eastAsia="仿宋_GB2312" w:cs="仿宋_GB2312"/>
                <w:color w:val="000000"/>
                <w:kern w:val="0"/>
                <w:sz w:val="22"/>
                <w:highlight w:val="none"/>
                <w:lang w:bidi="ar"/>
              </w:rPr>
            </w:pPr>
          </w:p>
          <w:p w14:paraId="3A6AB770">
            <w:pPr>
              <w:rPr>
                <w:rFonts w:hint="eastAsia" w:ascii="仿宋_GB2312" w:hAnsi="仿宋_GB2312" w:eastAsia="仿宋_GB2312" w:cs="仿宋_GB2312"/>
                <w:color w:val="000000"/>
                <w:kern w:val="0"/>
                <w:sz w:val="22"/>
                <w:highlight w:val="none"/>
                <w:lang w:bidi="ar"/>
              </w:rPr>
            </w:pPr>
          </w:p>
          <w:p w14:paraId="0C9E669B">
            <w:pPr>
              <w:pStyle w:val="2"/>
              <w:ind w:left="0" w:leftChars="0" w:firstLine="0" w:firstLineChars="0"/>
              <w:rPr>
                <w:rFonts w:hint="eastAsia" w:ascii="仿宋_GB2312" w:hAnsi="仿宋_GB2312" w:eastAsia="仿宋_GB2312" w:cs="仿宋_GB2312"/>
                <w:color w:val="000000"/>
                <w:kern w:val="0"/>
                <w:sz w:val="22"/>
                <w:highlight w:val="none"/>
                <w:lang w:bidi="ar"/>
              </w:rPr>
            </w:pPr>
          </w:p>
          <w:p w14:paraId="4F298047">
            <w:pPr>
              <w:rPr>
                <w:rFonts w:hint="eastAsia" w:ascii="仿宋_GB2312" w:hAnsi="仿宋_GB2312" w:eastAsia="仿宋_GB2312" w:cs="仿宋_GB2312"/>
                <w:color w:val="000000"/>
                <w:kern w:val="0"/>
                <w:sz w:val="22"/>
                <w:highlight w:val="none"/>
                <w:lang w:bidi="ar"/>
              </w:rPr>
            </w:pPr>
          </w:p>
          <w:p w14:paraId="31E12BF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267CA980">
            <w:pPr>
              <w:rPr>
                <w:rFonts w:hint="eastAsia" w:ascii="仿宋_GB2312" w:hAnsi="仿宋_GB2312" w:eastAsia="仿宋_GB2312" w:cs="仿宋_GB2312"/>
                <w:color w:val="000000"/>
                <w:kern w:val="0"/>
                <w:sz w:val="22"/>
                <w:highlight w:val="none"/>
                <w:lang w:bidi="ar"/>
              </w:rPr>
            </w:pPr>
          </w:p>
          <w:p w14:paraId="3DAF6FDB">
            <w:pPr>
              <w:jc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协议履行</w:t>
            </w:r>
          </w:p>
          <w:p w14:paraId="31194075">
            <w:pPr>
              <w:pStyle w:val="2"/>
              <w:rPr>
                <w:rFonts w:hint="eastAsia" w:ascii="仿宋_GB2312" w:hAnsi="仿宋_GB2312" w:eastAsia="仿宋_GB2312" w:cs="仿宋_GB2312"/>
                <w:color w:val="000000"/>
                <w:kern w:val="0"/>
                <w:sz w:val="22"/>
                <w:highlight w:val="none"/>
                <w:lang w:bidi="ar"/>
              </w:rPr>
            </w:pPr>
          </w:p>
          <w:p w14:paraId="5B0D4363">
            <w:pPr>
              <w:rPr>
                <w:rFonts w:hint="eastAsia" w:ascii="仿宋_GB2312" w:hAnsi="仿宋_GB2312" w:eastAsia="仿宋_GB2312" w:cs="仿宋_GB2312"/>
                <w:color w:val="000000"/>
                <w:kern w:val="0"/>
                <w:sz w:val="22"/>
                <w:highlight w:val="none"/>
                <w:lang w:bidi="ar"/>
              </w:rPr>
            </w:pPr>
          </w:p>
          <w:p w14:paraId="17ECBF36">
            <w:pPr>
              <w:pStyle w:val="2"/>
              <w:rPr>
                <w:rFonts w:hint="eastAsia" w:ascii="仿宋_GB2312" w:hAnsi="仿宋_GB2312" w:eastAsia="仿宋_GB2312" w:cs="仿宋_GB2312"/>
                <w:color w:val="000000"/>
                <w:kern w:val="0"/>
                <w:sz w:val="22"/>
                <w:highlight w:val="none"/>
                <w:lang w:bidi="ar"/>
              </w:rPr>
            </w:pPr>
          </w:p>
          <w:p w14:paraId="5E45E934">
            <w:pPr>
              <w:rPr>
                <w:rFonts w:hint="eastAsia" w:ascii="仿宋_GB2312" w:hAnsi="仿宋_GB2312" w:eastAsia="仿宋_GB2312" w:cs="仿宋_GB2312"/>
                <w:color w:val="000000"/>
                <w:kern w:val="0"/>
                <w:sz w:val="22"/>
                <w:highlight w:val="none"/>
                <w:lang w:bidi="ar"/>
              </w:rPr>
            </w:pPr>
          </w:p>
          <w:p w14:paraId="6B363701">
            <w:pPr>
              <w:pStyle w:val="2"/>
              <w:rPr>
                <w:rFonts w:hint="eastAsia" w:ascii="仿宋_GB2312" w:hAnsi="仿宋_GB2312" w:eastAsia="仿宋_GB2312" w:cs="仿宋_GB2312"/>
                <w:color w:val="000000"/>
                <w:kern w:val="0"/>
                <w:sz w:val="22"/>
                <w:highlight w:val="none"/>
                <w:lang w:bidi="ar"/>
              </w:rPr>
            </w:pPr>
          </w:p>
          <w:p w14:paraId="295AA9B9">
            <w:pPr>
              <w:rPr>
                <w:rFonts w:hint="eastAsia" w:ascii="仿宋_GB2312" w:hAnsi="仿宋_GB2312" w:eastAsia="仿宋_GB2312" w:cs="仿宋_GB2312"/>
                <w:color w:val="000000"/>
                <w:kern w:val="0"/>
                <w:sz w:val="22"/>
                <w:highlight w:val="none"/>
                <w:lang w:bidi="ar"/>
              </w:rPr>
            </w:pPr>
          </w:p>
          <w:p w14:paraId="6665FDA9">
            <w:pPr>
              <w:pStyle w:val="2"/>
              <w:rPr>
                <w:rFonts w:hint="eastAsia" w:ascii="仿宋_GB2312" w:hAnsi="仿宋_GB2312" w:eastAsia="仿宋_GB2312" w:cs="仿宋_GB2312"/>
                <w:color w:val="000000"/>
                <w:kern w:val="0"/>
                <w:sz w:val="22"/>
                <w:highlight w:val="none"/>
                <w:lang w:bidi="ar"/>
              </w:rPr>
            </w:pPr>
          </w:p>
          <w:p w14:paraId="19D241A2">
            <w:pPr>
              <w:rPr>
                <w:rFonts w:hint="eastAsia" w:ascii="仿宋_GB2312" w:hAnsi="仿宋_GB2312" w:eastAsia="仿宋_GB2312" w:cs="仿宋_GB2312"/>
                <w:color w:val="000000"/>
                <w:kern w:val="0"/>
                <w:sz w:val="22"/>
                <w:highlight w:val="none"/>
                <w:lang w:bidi="ar"/>
              </w:rPr>
            </w:pPr>
          </w:p>
          <w:p w14:paraId="0CD1C631">
            <w:pPr>
              <w:pStyle w:val="2"/>
              <w:rPr>
                <w:rFonts w:hint="eastAsia" w:ascii="仿宋_GB2312" w:hAnsi="仿宋_GB2312" w:eastAsia="仿宋_GB2312" w:cs="仿宋_GB2312"/>
                <w:color w:val="000000"/>
                <w:kern w:val="0"/>
                <w:sz w:val="22"/>
                <w:highlight w:val="none"/>
                <w:lang w:bidi="ar"/>
              </w:rPr>
            </w:pPr>
          </w:p>
          <w:p w14:paraId="359B87CC">
            <w:pPr>
              <w:pStyle w:val="2"/>
              <w:ind w:left="0" w:leftChars="0" w:firstLine="0" w:firstLineChars="0"/>
              <w:rPr>
                <w:rFonts w:hint="eastAsia"/>
              </w:rPr>
            </w:pPr>
          </w:p>
          <w:p w14:paraId="76013884">
            <w:pPr>
              <w:rPr>
                <w:rFonts w:hint="eastAsia"/>
              </w:rPr>
            </w:pPr>
          </w:p>
          <w:p w14:paraId="1D86004D">
            <w:pPr>
              <w:pStyle w:val="2"/>
              <w:rPr>
                <w:rFonts w:hint="eastAsia"/>
              </w:rPr>
            </w:pPr>
          </w:p>
          <w:p w14:paraId="70E95096">
            <w:pPr>
              <w:jc w:val="center"/>
              <w:rPr>
                <w:rFonts w:hint="eastAsia"/>
              </w:rPr>
            </w:pPr>
            <w:r>
              <w:rPr>
                <w:rFonts w:hint="eastAsia" w:ascii="仿宋_GB2312" w:hAnsi="仿宋_GB2312" w:eastAsia="仿宋_GB2312" w:cs="仿宋_GB2312"/>
                <w:color w:val="000000"/>
                <w:kern w:val="0"/>
                <w:sz w:val="22"/>
                <w:highlight w:val="none"/>
                <w:lang w:bidi="ar"/>
              </w:rPr>
              <w:t>协议履行</w:t>
            </w: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8844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基础管理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864CA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default" w:ascii="Times New Roman" w:hAnsi="Times New Roman" w:eastAsia="仿宋_GB2312" w:cs="Times New Roman"/>
                <w:color w:val="000000"/>
                <w:kern w:val="0"/>
                <w:sz w:val="22"/>
                <w:highlight w:val="none"/>
                <w:lang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74F1A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机构设置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E2A5B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CEA1A3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设立专门机构或者人员负责医疗保障基金使用管理工作。</w:t>
            </w:r>
          </w:p>
        </w:tc>
      </w:tr>
      <w:tr w14:paraId="2853A6BC">
        <w:tblPrEx>
          <w:tblCellMar>
            <w:top w:w="0" w:type="dxa"/>
            <w:left w:w="108" w:type="dxa"/>
            <w:bottom w:w="0" w:type="dxa"/>
            <w:right w:w="108" w:type="dxa"/>
          </w:tblCellMar>
        </w:tblPrEx>
        <w:trPr>
          <w:trHeight w:val="810" w:hRule="atLeast"/>
          <w:jc w:val="center"/>
        </w:trPr>
        <w:tc>
          <w:tcPr>
            <w:tcW w:w="282" w:type="pct"/>
            <w:vMerge w:val="continue"/>
            <w:tcBorders>
              <w:left w:val="single" w:color="000000" w:sz="4" w:space="0"/>
              <w:right w:val="single" w:color="000000" w:sz="4" w:space="0"/>
            </w:tcBorders>
            <w:noWrap w:val="0"/>
            <w:vAlign w:val="center"/>
          </w:tcPr>
          <w:p w14:paraId="2700C21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B21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56083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65283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规章制度</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DD537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243E9F8">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建立与基本医疗保险管理相适应的内部管理制度，包括医保管理制度、财务制度、统计信息管理制度、医疗质量安全核心制度等。</w:t>
            </w:r>
          </w:p>
        </w:tc>
      </w:tr>
      <w:tr w14:paraId="433F7DE0">
        <w:tblPrEx>
          <w:tblCellMar>
            <w:top w:w="0" w:type="dxa"/>
            <w:left w:w="108" w:type="dxa"/>
            <w:bottom w:w="0" w:type="dxa"/>
            <w:right w:w="108" w:type="dxa"/>
          </w:tblCellMar>
        </w:tblPrEx>
        <w:trPr>
          <w:trHeight w:val="1080" w:hRule="atLeast"/>
          <w:jc w:val="center"/>
        </w:trPr>
        <w:tc>
          <w:tcPr>
            <w:tcW w:w="282" w:type="pct"/>
            <w:vMerge w:val="continue"/>
            <w:tcBorders>
              <w:left w:val="single" w:color="000000" w:sz="4" w:space="0"/>
              <w:right w:val="single" w:color="000000" w:sz="4" w:space="0"/>
            </w:tcBorders>
            <w:noWrap w:val="0"/>
            <w:vAlign w:val="center"/>
          </w:tcPr>
          <w:p w14:paraId="306E1D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F65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DAB046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215D2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宣传培训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C4A84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F1A6AE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①开展医疗保障政策、就医和结算流程等宣传，并提供相关咨询服务，并及时更新宣传内容；</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②组织开展医疗保障基金相关制度、政策的培训；</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③参加由医疗保障行政部门或经办机构、稽核机构组织的宣传和培训。</w:t>
            </w:r>
          </w:p>
        </w:tc>
      </w:tr>
      <w:tr w14:paraId="20B67F45">
        <w:tblPrEx>
          <w:tblCellMar>
            <w:top w:w="0" w:type="dxa"/>
            <w:left w:w="108" w:type="dxa"/>
            <w:bottom w:w="0" w:type="dxa"/>
            <w:right w:w="108" w:type="dxa"/>
          </w:tblCellMar>
        </w:tblPrEx>
        <w:trPr>
          <w:trHeight w:val="435" w:hRule="atLeast"/>
          <w:jc w:val="center"/>
        </w:trPr>
        <w:tc>
          <w:tcPr>
            <w:tcW w:w="282" w:type="pct"/>
            <w:vMerge w:val="continue"/>
            <w:tcBorders>
              <w:left w:val="single" w:color="000000" w:sz="4" w:space="0"/>
              <w:right w:val="single" w:color="000000" w:sz="4" w:space="0"/>
            </w:tcBorders>
            <w:noWrap w:val="0"/>
            <w:vAlign w:val="center"/>
          </w:tcPr>
          <w:p w14:paraId="58F7C6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D33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2E722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981F04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信息系统</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69E6A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833DBB7">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①建立专门的信息化管理机构，配备专职人员，制定信息安全管理制度并有效执行，保障网络稳定畅通，严格执行信息保密制度；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②医院HIS系统与医疗保险信息系统有效对接，并采用安全有效隔离措施实现与互联网物理隔离；</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 xml:space="preserve">③医院HIS系统与医保智能监控系统有效对接，并使医保智能监控规则嵌入医院信息系统，并实现应用； </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④按照规定通过医疗保障信息系统传送医疗保障基金使用有关数据。</w:t>
            </w:r>
          </w:p>
        </w:tc>
      </w:tr>
      <w:tr w14:paraId="6040CDA2">
        <w:tblPrEx>
          <w:tblCellMar>
            <w:top w:w="0" w:type="dxa"/>
            <w:left w:w="108" w:type="dxa"/>
            <w:bottom w:w="0" w:type="dxa"/>
            <w:right w:w="108" w:type="dxa"/>
          </w:tblCellMar>
        </w:tblPrEx>
        <w:trPr>
          <w:trHeight w:val="1080" w:hRule="atLeast"/>
          <w:jc w:val="center"/>
        </w:trPr>
        <w:tc>
          <w:tcPr>
            <w:tcW w:w="282" w:type="pct"/>
            <w:vMerge w:val="continue"/>
            <w:tcBorders>
              <w:left w:val="single" w:color="000000" w:sz="4" w:space="0"/>
              <w:bottom w:val="single" w:color="auto" w:sz="4" w:space="0"/>
              <w:right w:val="single" w:color="000000" w:sz="4" w:space="0"/>
            </w:tcBorders>
            <w:noWrap w:val="0"/>
            <w:vAlign w:val="center"/>
          </w:tcPr>
          <w:p w14:paraId="6616A3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128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02AC8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0D0F7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收费规定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2D292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075530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①医疗服务项目价格严格按照协议条款执行；</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②执行价格有关法律规定，在收费场所显著位置明码标价；</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w:t>
            </w:r>
            <w:r>
              <w:rPr>
                <w:rFonts w:hint="eastAsia" w:ascii="仿宋_GB2312" w:hAnsi="仿宋_GB2312" w:eastAsia="仿宋_GB2312" w:cs="仿宋_GB2312"/>
                <w:color w:val="auto"/>
                <w:kern w:val="0"/>
                <w:sz w:val="22"/>
                <w:highlight w:val="none"/>
                <w:lang w:bidi="ar"/>
              </w:rPr>
              <w:t>市场调节价</w:t>
            </w:r>
            <w:r>
              <w:rPr>
                <w:rFonts w:hint="eastAsia" w:ascii="仿宋_GB2312" w:hAnsi="仿宋_GB2312" w:eastAsia="仿宋_GB2312" w:cs="仿宋_GB2312"/>
                <w:color w:val="000000"/>
                <w:kern w:val="0"/>
                <w:sz w:val="22"/>
                <w:highlight w:val="none"/>
                <w:lang w:bidi="ar"/>
              </w:rPr>
              <w:t>和自主定价项目应做好知情告知。</w:t>
            </w:r>
          </w:p>
        </w:tc>
      </w:tr>
      <w:tr w14:paraId="3D08C3D2">
        <w:tblPrEx>
          <w:tblCellMar>
            <w:top w:w="0" w:type="dxa"/>
            <w:left w:w="108" w:type="dxa"/>
            <w:bottom w:w="0" w:type="dxa"/>
            <w:right w:w="108" w:type="dxa"/>
          </w:tblCellMar>
        </w:tblPrEx>
        <w:trPr>
          <w:trHeight w:val="81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0AE17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EEB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CB12D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09E7C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医保编码</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D373E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E1C77B2">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①及时做好定点医疗机构、医师、护士等医保编码工作，及时入库，动态调整，国家赋码后同步更新；</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②配合做好</w:t>
            </w:r>
            <w:r>
              <w:rPr>
                <w:rFonts w:hint="eastAsia" w:ascii="仿宋_GB2312" w:hAnsi="仿宋_GB2312" w:eastAsia="仿宋_GB2312" w:cs="仿宋_GB2312"/>
                <w:color w:val="000000"/>
                <w:kern w:val="0"/>
                <w:sz w:val="22"/>
                <w:highlight w:val="none"/>
                <w:lang w:eastAsia="zh-CN" w:bidi="ar"/>
              </w:rPr>
              <w:t>医保</w:t>
            </w:r>
            <w:r>
              <w:rPr>
                <w:rFonts w:hint="eastAsia" w:ascii="仿宋_GB2312" w:hAnsi="仿宋_GB2312" w:eastAsia="仿宋_GB2312" w:cs="仿宋_GB2312"/>
                <w:color w:val="000000"/>
                <w:kern w:val="0"/>
                <w:sz w:val="22"/>
                <w:highlight w:val="none"/>
                <w:lang w:bidi="ar"/>
              </w:rPr>
              <w:t>目录、费用结算清单等国家统一编码落地实施工作。</w:t>
            </w:r>
          </w:p>
        </w:tc>
      </w:tr>
      <w:tr w14:paraId="748D1BE9">
        <w:tblPrEx>
          <w:tblCellMar>
            <w:top w:w="0" w:type="dxa"/>
            <w:left w:w="108" w:type="dxa"/>
            <w:bottom w:w="0" w:type="dxa"/>
            <w:right w:w="108" w:type="dxa"/>
          </w:tblCellMar>
        </w:tblPrEx>
        <w:trPr>
          <w:trHeight w:val="81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D6EE9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930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A0D93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A6C9D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报送制度</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F6778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EC4789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①按照规定及时准确报送各类统计报表、年度工作总结等；</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②按照规定向医疗保障行政部门报告医疗保障基金使用监督管理所需信息；</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③按照规定向社会公开医药费用、费用结构等信息。</w:t>
            </w:r>
          </w:p>
        </w:tc>
      </w:tr>
      <w:tr w14:paraId="32D71C74">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C0C6B0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AC2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D7064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ABDFA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凭证管理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C5CD3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4AD8CC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按照规定保管财务账目、会计凭证、处方、病历、治疗检查记录、费用明细、药品和医用耗材出入库记录等资料。</w:t>
            </w:r>
          </w:p>
        </w:tc>
      </w:tr>
      <w:tr w14:paraId="7D2D9256">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0398D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689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80F5F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D7E00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变更备案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9007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F9C16F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strike w:val="0"/>
                <w:color w:val="000000"/>
                <w:kern w:val="0"/>
                <w:sz w:val="22"/>
                <w:highlight w:val="none"/>
                <w:lang w:bidi="ar"/>
              </w:rPr>
            </w:pPr>
            <w:r>
              <w:rPr>
                <w:rFonts w:hint="eastAsia" w:ascii="仿宋_GB2312" w:hAnsi="仿宋_GB2312" w:eastAsia="仿宋_GB2312" w:cs="仿宋_GB2312"/>
                <w:strike w:val="0"/>
                <w:color w:val="000000"/>
                <w:kern w:val="0"/>
                <w:sz w:val="22"/>
                <w:highlight w:val="none"/>
                <w:lang w:bidi="ar"/>
              </w:rPr>
              <w:t>机构名称、执业地址等发生变化时，及时向医疗保障部门提供相关材料备案，申请变更。</w:t>
            </w:r>
          </w:p>
        </w:tc>
      </w:tr>
      <w:tr w14:paraId="7AA5C034">
        <w:tblPrEx>
          <w:tblCellMar>
            <w:top w:w="0" w:type="dxa"/>
            <w:left w:w="108" w:type="dxa"/>
            <w:bottom w:w="0" w:type="dxa"/>
            <w:right w:w="108" w:type="dxa"/>
          </w:tblCellMar>
        </w:tblPrEx>
        <w:trPr>
          <w:trHeight w:val="1149"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1CFC8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F3E61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费用控制</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A76EC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32FB1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门诊次均费用增长率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D074A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D599A9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年度门诊次均费用=年度门诊费用总额/年度门诊总人次</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门诊次均费用增长率=(本年度门诊次均费用-上年度门诊次均费用)/上年度门诊次均费用×100%</w:t>
            </w:r>
          </w:p>
        </w:tc>
      </w:tr>
      <w:tr w14:paraId="433AF470">
        <w:tblPrEx>
          <w:tblCellMar>
            <w:top w:w="0" w:type="dxa"/>
            <w:left w:w="108" w:type="dxa"/>
            <w:bottom w:w="0" w:type="dxa"/>
            <w:right w:w="108" w:type="dxa"/>
          </w:tblCellMar>
        </w:tblPrEx>
        <w:trPr>
          <w:trHeight w:val="9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5ECD4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A855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724E7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2AA94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门诊目录外自费率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3E11F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6F2CC8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门诊目录外自费率=门诊全额自费项目总额/门诊费用总额×100%</w:t>
            </w:r>
          </w:p>
        </w:tc>
      </w:tr>
      <w:tr w14:paraId="67D907D6">
        <w:tblPrEx>
          <w:tblCellMar>
            <w:top w:w="0" w:type="dxa"/>
            <w:left w:w="108" w:type="dxa"/>
            <w:bottom w:w="0" w:type="dxa"/>
            <w:right w:w="108" w:type="dxa"/>
          </w:tblCellMar>
        </w:tblPrEx>
        <w:trPr>
          <w:trHeight w:val="108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C021D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C7D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3ABFB6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7A931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住院次均费用增长率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492163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28A22F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年度住院次均费用=年度住院费用总额/年度住院总人次</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住院次均费用增长率=(本年度住院次均费用-上年度住院次均费用)/上年度住院次均费用×100%</w:t>
            </w:r>
          </w:p>
        </w:tc>
      </w:tr>
      <w:tr w14:paraId="5C7EA994">
        <w:tblPrEx>
          <w:tblCellMar>
            <w:top w:w="0" w:type="dxa"/>
            <w:left w:w="108" w:type="dxa"/>
            <w:bottom w:w="0" w:type="dxa"/>
            <w:right w:w="108" w:type="dxa"/>
          </w:tblCellMar>
        </w:tblPrEx>
        <w:trPr>
          <w:trHeight w:val="876"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89A929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0AC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91F4A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87950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住院率增幅</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7AFEA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E419F9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住院率=年度出院人次数/年度门诊就医人次数×100%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住院率增幅=丨本年度住院率-上年度住院率丨</w:t>
            </w:r>
          </w:p>
        </w:tc>
      </w:tr>
      <w:tr w14:paraId="1D927180">
        <w:tblPrEx>
          <w:tblCellMar>
            <w:top w:w="0" w:type="dxa"/>
            <w:left w:w="108" w:type="dxa"/>
            <w:bottom w:w="0" w:type="dxa"/>
            <w:right w:w="108" w:type="dxa"/>
          </w:tblCellMar>
        </w:tblPrEx>
        <w:trPr>
          <w:trHeight w:val="424"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BBD1A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897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9B806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6A0D5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住院目录外自费率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77C212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E83611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住院目录外自费率=住院全额自费项目总额/住院费用总额×100%</w:t>
            </w:r>
          </w:p>
        </w:tc>
      </w:tr>
      <w:tr w14:paraId="6878572E">
        <w:tblPrEx>
          <w:tblCellMar>
            <w:top w:w="0" w:type="dxa"/>
            <w:left w:w="108" w:type="dxa"/>
            <w:bottom w:w="0" w:type="dxa"/>
            <w:right w:w="108" w:type="dxa"/>
          </w:tblCellMar>
        </w:tblPrEx>
        <w:trPr>
          <w:trHeight w:val="1305"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C87DC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B6C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EFD10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7EBEA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医疗费用总额增长率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D1298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9E38DC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医疗费用总额增长率=(本年度医疗费用总额-上年度医疗费用总额)/上年度医疗费用总额×100%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排除合理因素(新增就医人次、医疗服务价格调整、重病患者比例高等)影响。</w:t>
            </w:r>
          </w:p>
        </w:tc>
      </w:tr>
      <w:tr w14:paraId="0FA4B41E">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1F6E2C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09E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49895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FBE0B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费用分析</w:t>
            </w:r>
          </w:p>
          <w:p w14:paraId="7C1BC6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制度</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AEC13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E82A53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根据要求建立院内医疗费用分析制度，合理科学设置各项指标，定期向医保经办机构说明医疗费用的管控情况。</w:t>
            </w:r>
          </w:p>
        </w:tc>
      </w:tr>
      <w:tr w14:paraId="0B5E137A">
        <w:tblPrEx>
          <w:tblCellMar>
            <w:top w:w="0" w:type="dxa"/>
            <w:left w:w="108" w:type="dxa"/>
            <w:bottom w:w="0" w:type="dxa"/>
            <w:right w:w="108" w:type="dxa"/>
          </w:tblCellMar>
        </w:tblPrEx>
        <w:trPr>
          <w:trHeight w:val="45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BB7FE0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F18B8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63C5CC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1AA209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58EA3C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p w14:paraId="251D70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p w14:paraId="261F5A4B">
            <w:pPr>
              <w:pStyle w:val="2"/>
              <w:rPr>
                <w:rFonts w:hint="eastAsia" w:ascii="仿宋_GB2312" w:hAnsi="仿宋_GB2312" w:eastAsia="仿宋_GB2312" w:cs="仿宋_GB2312"/>
                <w:color w:val="000000"/>
                <w:kern w:val="0"/>
                <w:sz w:val="22"/>
                <w:highlight w:val="none"/>
                <w:lang w:bidi="ar"/>
              </w:rPr>
            </w:pPr>
          </w:p>
          <w:p w14:paraId="6862119C">
            <w:pPr>
              <w:rPr>
                <w:rFonts w:hint="eastAsia" w:ascii="仿宋_GB2312" w:hAnsi="仿宋_GB2312" w:eastAsia="仿宋_GB2312" w:cs="仿宋_GB2312"/>
                <w:color w:val="000000"/>
                <w:kern w:val="0"/>
                <w:sz w:val="22"/>
                <w:highlight w:val="none"/>
                <w:lang w:bidi="ar"/>
              </w:rPr>
            </w:pPr>
          </w:p>
          <w:p w14:paraId="16890296">
            <w:pPr>
              <w:pStyle w:val="2"/>
              <w:rPr>
                <w:rFonts w:hint="eastAsia" w:ascii="仿宋_GB2312" w:hAnsi="仿宋_GB2312" w:eastAsia="仿宋_GB2312" w:cs="仿宋_GB2312"/>
                <w:color w:val="000000"/>
                <w:kern w:val="0"/>
                <w:sz w:val="22"/>
                <w:highlight w:val="none"/>
                <w:lang w:bidi="ar"/>
              </w:rPr>
            </w:pPr>
          </w:p>
          <w:p w14:paraId="2B8EC2FE">
            <w:pPr>
              <w:rPr>
                <w:rFonts w:hint="eastAsia" w:ascii="仿宋_GB2312" w:hAnsi="仿宋_GB2312" w:eastAsia="仿宋_GB2312" w:cs="仿宋_GB2312"/>
                <w:color w:val="000000"/>
                <w:kern w:val="0"/>
                <w:sz w:val="22"/>
                <w:highlight w:val="none"/>
                <w:lang w:bidi="ar"/>
              </w:rPr>
            </w:pPr>
          </w:p>
          <w:p w14:paraId="423B5634">
            <w:pPr>
              <w:rPr>
                <w:rFonts w:hint="eastAsia" w:ascii="仿宋_GB2312" w:hAnsi="仿宋_GB2312" w:eastAsia="仿宋_GB2312" w:cs="仿宋_GB2312"/>
                <w:color w:val="000000"/>
                <w:kern w:val="0"/>
                <w:sz w:val="22"/>
                <w:highlight w:val="none"/>
                <w:lang w:bidi="ar"/>
              </w:rPr>
            </w:pPr>
          </w:p>
          <w:p w14:paraId="502B8DA2">
            <w:pPr>
              <w:pStyle w:val="2"/>
              <w:rPr>
                <w:rFonts w:hint="eastAsia" w:ascii="仿宋_GB2312" w:hAnsi="仿宋_GB2312" w:eastAsia="仿宋_GB2312" w:cs="仿宋_GB2312"/>
                <w:color w:val="000000"/>
                <w:kern w:val="0"/>
                <w:sz w:val="22"/>
                <w:highlight w:val="none"/>
                <w:lang w:bidi="ar"/>
              </w:rPr>
            </w:pPr>
          </w:p>
          <w:p w14:paraId="01C62CFA">
            <w:pPr>
              <w:rPr>
                <w:rFonts w:hint="eastAsia" w:ascii="仿宋_GB2312" w:hAnsi="仿宋_GB2312" w:eastAsia="仿宋_GB2312" w:cs="仿宋_GB2312"/>
                <w:color w:val="000000"/>
                <w:kern w:val="0"/>
                <w:sz w:val="22"/>
                <w:highlight w:val="none"/>
                <w:lang w:bidi="ar"/>
              </w:rPr>
            </w:pPr>
          </w:p>
          <w:p w14:paraId="4FACC737">
            <w:pPr>
              <w:pStyle w:val="2"/>
              <w:rPr>
                <w:rFonts w:hint="eastAsia" w:ascii="仿宋_GB2312" w:hAnsi="仿宋_GB2312" w:eastAsia="仿宋_GB2312" w:cs="仿宋_GB2312"/>
                <w:color w:val="000000"/>
                <w:kern w:val="0"/>
                <w:sz w:val="22"/>
                <w:highlight w:val="none"/>
                <w:lang w:bidi="ar"/>
              </w:rPr>
            </w:pPr>
          </w:p>
          <w:p w14:paraId="2BE45271">
            <w:pPr>
              <w:pStyle w:val="2"/>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textAlignment w:val="auto"/>
              <w:rPr>
                <w:rFonts w:hint="eastAsia" w:ascii="仿宋_GB2312" w:hAnsi="仿宋_GB2312" w:eastAsia="仿宋_GB2312" w:cs="仿宋_GB2312"/>
                <w:color w:val="000000"/>
                <w:kern w:val="0"/>
                <w:sz w:val="22"/>
                <w:highlight w:val="none"/>
                <w:lang w:bidi="ar"/>
              </w:rPr>
            </w:pPr>
          </w:p>
          <w:p w14:paraId="41B41F23">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rPr>
            </w:pPr>
          </w:p>
          <w:p w14:paraId="009125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rPr>
            </w:pPr>
            <w:r>
              <w:rPr>
                <w:rFonts w:hint="eastAsia" w:ascii="仿宋_GB2312" w:hAnsi="仿宋_GB2312" w:eastAsia="仿宋_GB2312" w:cs="仿宋_GB2312"/>
                <w:color w:val="000000"/>
                <w:kern w:val="0"/>
                <w:sz w:val="22"/>
                <w:highlight w:val="none"/>
                <w:lang w:bidi="ar"/>
              </w:rPr>
              <w:t>行为规范</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2A8A0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070F1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就医核验</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49B836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59DED8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①对就诊的参保人进行身份识别，查验参保人身份证、医保凭证等，确保人证一致；</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②非经医保经办机构书面授权，不得以任何理由收集、留存参保人员医疗保障有效凭证。</w:t>
            </w:r>
          </w:p>
        </w:tc>
      </w:tr>
      <w:tr w14:paraId="6C9AED85">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2F8F2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1BA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647DD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3BAC0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资格认定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F805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6DE2755">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做好门诊慢特病资格认定和信息备案工作，由专人负责，制定行之有效的门诊慢特病管理制度和工作程序。</w:t>
            </w:r>
          </w:p>
        </w:tc>
      </w:tr>
      <w:tr w14:paraId="0E73DC15">
        <w:tblPrEx>
          <w:tblCellMar>
            <w:top w:w="0" w:type="dxa"/>
            <w:left w:w="108" w:type="dxa"/>
            <w:bottom w:w="0" w:type="dxa"/>
            <w:right w:w="108" w:type="dxa"/>
          </w:tblCellMar>
        </w:tblPrEx>
        <w:trPr>
          <w:trHeight w:val="81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38D27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FE4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A0187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B6ED6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知情同意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A64C7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98EE46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①因住院病情需要使用医保目录外药品或诊疗项目的，应书面告知参保人，严格执行全额自费项目知情同意签字制度；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②能够向参保人员提供门诊、住院费用结算清单和住院日费用清单。</w:t>
            </w:r>
          </w:p>
        </w:tc>
      </w:tr>
      <w:tr w14:paraId="2E7E276E">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E979F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C6B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F21A3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E5CB3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处方流转</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BB4DE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BF75E3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严格执行门诊处方外配制度，参保人员要求到定点零售药店购药时，不得以任何理由拒绝，并及时为患者办理必要的门诊处方外配手续。</w:t>
            </w:r>
          </w:p>
        </w:tc>
      </w:tr>
      <w:tr w14:paraId="39E7C266">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14726F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949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7F39D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EB5E58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异地就医</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7D8A5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C9A438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按规定对异地就医参保人员提供合理的医疗服务，办理联网结算，与当地参保人一并纳入医保管理服务，执行就医地支付结算标准，无正当理由不得拒绝为异地参保人员即时结算费用</w:t>
            </w:r>
            <w:r>
              <w:rPr>
                <w:rFonts w:hint="eastAsia" w:ascii="仿宋_GB2312" w:hAnsi="仿宋_GB2312" w:eastAsia="仿宋_GB2312" w:cs="仿宋_GB2312"/>
                <w:color w:val="000000"/>
                <w:kern w:val="0"/>
                <w:sz w:val="22"/>
                <w:highlight w:val="none"/>
                <w:lang w:eastAsia="zh-CN" w:bidi="ar"/>
              </w:rPr>
              <w:t>，并且住院期间外院检查或定点药店购药相关费用应纳入</w:t>
            </w:r>
            <w:r>
              <w:rPr>
                <w:rFonts w:hint="eastAsia" w:ascii="仿宋_GB2312" w:hAnsi="仿宋_GB2312" w:eastAsia="仿宋_GB2312" w:cs="仿宋_GB2312"/>
                <w:color w:val="000000"/>
                <w:kern w:val="0"/>
                <w:sz w:val="22"/>
                <w:highlight w:val="none"/>
                <w:lang w:val="en-US" w:eastAsia="zh-CN" w:bidi="ar"/>
              </w:rPr>
              <w:t>本次住院费用 直接结算</w:t>
            </w:r>
            <w:r>
              <w:rPr>
                <w:rFonts w:hint="eastAsia" w:ascii="仿宋_GB2312" w:hAnsi="仿宋_GB2312" w:eastAsia="仿宋_GB2312" w:cs="仿宋_GB2312"/>
                <w:color w:val="000000"/>
                <w:kern w:val="0"/>
                <w:sz w:val="22"/>
                <w:highlight w:val="none"/>
                <w:lang w:bidi="ar"/>
              </w:rPr>
              <w:t>。</w:t>
            </w:r>
          </w:p>
        </w:tc>
      </w:tr>
      <w:tr w14:paraId="535260F3">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AE597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564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F5C44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C7466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目录维护</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C0848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057DC8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新增药品、医用耗材(含自费项目)</w:t>
            </w:r>
            <w:r>
              <w:rPr>
                <w:rFonts w:hint="eastAsia" w:ascii="仿宋_GB2312" w:hAnsi="仿宋_GB2312" w:eastAsia="仿宋_GB2312" w:cs="仿宋_GB2312"/>
                <w:color w:val="000000"/>
                <w:kern w:val="0"/>
                <w:sz w:val="22"/>
                <w:highlight w:val="none"/>
                <w:lang w:eastAsia="zh-CN" w:bidi="ar"/>
              </w:rPr>
              <w:t>编码</w:t>
            </w:r>
            <w:r>
              <w:rPr>
                <w:rFonts w:hint="eastAsia" w:ascii="仿宋_GB2312" w:hAnsi="仿宋_GB2312" w:eastAsia="仿宋_GB2312" w:cs="仿宋_GB2312"/>
                <w:color w:val="000000"/>
                <w:kern w:val="0"/>
                <w:sz w:val="22"/>
                <w:highlight w:val="none"/>
                <w:lang w:bidi="ar"/>
              </w:rPr>
              <w:t>的，应按要求提交新增申请材料，及时做好对应维护。</w:t>
            </w:r>
          </w:p>
        </w:tc>
      </w:tr>
      <w:tr w14:paraId="1D8D3737">
        <w:tblPrEx>
          <w:tblCellMar>
            <w:top w:w="0" w:type="dxa"/>
            <w:left w:w="108" w:type="dxa"/>
            <w:bottom w:w="0" w:type="dxa"/>
            <w:right w:w="108" w:type="dxa"/>
          </w:tblCellMar>
        </w:tblPrEx>
        <w:trPr>
          <w:trHeight w:val="75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4FB37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9D0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5ACEA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83453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结算要求</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510B5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EE149D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①按规定的程序和时限，通过日对账正确上传数据，及时向医保经办机构申报医疗费用；</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②协助医保经办机构对参保人员所发生的有疑义的医疗费用进行复核，并按规定时间进行疑点反馈；</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③优化医保结算流程，为参保人员提供便捷的医疗服务，按规定进行医保费用直接结算，提供费用结算单据和相关资料。</w:t>
            </w:r>
          </w:p>
        </w:tc>
      </w:tr>
      <w:tr w14:paraId="41E5F337">
        <w:tblPrEx>
          <w:tblCellMar>
            <w:top w:w="0" w:type="dxa"/>
            <w:left w:w="108" w:type="dxa"/>
            <w:bottom w:w="0" w:type="dxa"/>
            <w:right w:w="108" w:type="dxa"/>
          </w:tblCellMar>
        </w:tblPrEx>
        <w:trPr>
          <w:trHeight w:val="135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4DFC76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681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27D32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0BC1E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付费方式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32B7E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758108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①按规定开展DRG、DIP付费方式改革；</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②落实协议总额预算控制指标，结合本院实际制定费用控制办法，不能将指标简单分解到科室；</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③推行临床路径管理，提高诊疗行为透明度，将费用、患者负担水平等指标定期公开，为参保人就医选择提供参考。</w:t>
            </w:r>
          </w:p>
        </w:tc>
      </w:tr>
      <w:tr w14:paraId="470A8E85">
        <w:tblPrEx>
          <w:tblCellMar>
            <w:top w:w="0" w:type="dxa"/>
            <w:left w:w="108" w:type="dxa"/>
            <w:bottom w:w="0" w:type="dxa"/>
            <w:right w:w="108" w:type="dxa"/>
          </w:tblCellMar>
        </w:tblPrEx>
        <w:trPr>
          <w:trHeight w:val="162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B69E5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E79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F3326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8BF15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药械集采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FCD38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B670BF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公立医疗机构</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①严格执行集采政策，参加集采工作并按要求报量；</w:t>
            </w:r>
          </w:p>
          <w:p w14:paraId="7AC6906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②畅通中选药品和医用耗材入院渠道，并按时完成约定采购量；</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③严格执行网上采购政策，不得违规网下采购。</w:t>
            </w:r>
          </w:p>
        </w:tc>
      </w:tr>
      <w:tr w14:paraId="6B12DD52">
        <w:tblPrEx>
          <w:tblCellMar>
            <w:top w:w="0" w:type="dxa"/>
            <w:left w:w="108" w:type="dxa"/>
            <w:bottom w:w="0" w:type="dxa"/>
            <w:right w:w="108" w:type="dxa"/>
          </w:tblCellMar>
        </w:tblPrEx>
        <w:trPr>
          <w:trHeight w:val="108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C3EE7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9B3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FA912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791AA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药品管理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01996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C53A60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①建立健全药品“进、销、存”全流程记录和管理制度、药品供应制度；</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②优先配备使用医保药品，按规定配备国家谈判药品和省谈判药品；</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③加强医疗机构药事管理，严格掌握目录内药品限定支付范围</w:t>
            </w:r>
            <w:r>
              <w:rPr>
                <w:rFonts w:hint="eastAsia" w:ascii="仿宋_GB2312" w:hAnsi="仿宋_GB2312" w:eastAsia="仿宋_GB2312" w:cs="仿宋_GB2312"/>
                <w:color w:val="000000"/>
                <w:kern w:val="0"/>
                <w:sz w:val="22"/>
                <w:highlight w:val="none"/>
                <w:lang w:eastAsia="zh-CN" w:bidi="ar"/>
              </w:rPr>
              <w:t>和法定适应症</w:t>
            </w:r>
            <w:r>
              <w:rPr>
                <w:rFonts w:hint="eastAsia" w:ascii="仿宋_GB2312" w:hAnsi="仿宋_GB2312" w:eastAsia="仿宋_GB2312" w:cs="仿宋_GB2312"/>
                <w:color w:val="000000"/>
                <w:kern w:val="0"/>
                <w:sz w:val="22"/>
                <w:highlight w:val="none"/>
                <w:lang w:bidi="ar"/>
              </w:rPr>
              <w:t>并留存用药依据。</w:t>
            </w:r>
          </w:p>
        </w:tc>
      </w:tr>
      <w:tr w14:paraId="1CDFA40C">
        <w:tblPrEx>
          <w:tblCellMar>
            <w:top w:w="0" w:type="dxa"/>
            <w:left w:w="108" w:type="dxa"/>
            <w:bottom w:w="0" w:type="dxa"/>
            <w:right w:w="108" w:type="dxa"/>
          </w:tblCellMar>
        </w:tblPrEx>
        <w:trPr>
          <w:trHeight w:val="162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C7F99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B31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19F8E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56C0D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医用耗材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DCC28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C244B8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①取消公立医疗机构医用耗材加成，所有允许单独向患者收费的医用耗材，以实际购进价格“零差率”销售；公立医疗机构不得在实际购进价格之外接受经营者给予的价格折扣或其他形式的折扣。</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②以成本形式打包计入医疗服务价格的医用耗材，不得另行收费；</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③严格执行医用耗材临床使用的事前评估、事中跟踪和事后评价制度；建立高值医用耗材使用分析评价，严格控制高值医用耗材使用比例。</w:t>
            </w:r>
          </w:p>
        </w:tc>
      </w:tr>
      <w:tr w14:paraId="7C55D328">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65537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6EA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B2385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51A8A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药款结算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5ADDE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8E8953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集采药品耗材全部纳入医保基金与医药企业直接结算，严格按政策规定审核确认应付款项。</w:t>
            </w:r>
          </w:p>
        </w:tc>
      </w:tr>
      <w:tr w14:paraId="1C4422EB">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0777A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58C1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C7CDD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B0595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挂账处理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CE834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DC8D14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被当地医保经办机构拒付的医疗费用、超支分担机制下医疗机构按比例承担费用，应当在规定时限内作相应的财务处理。</w:t>
            </w:r>
          </w:p>
        </w:tc>
      </w:tr>
      <w:tr w14:paraId="7BC4BA6F">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44945E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072B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B7DBB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C2200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06D55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D85748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定期检查本单位医疗保障基金使用情况，及时纠正医疗保障基金使用不规范的行为</w:t>
            </w:r>
          </w:p>
        </w:tc>
      </w:tr>
      <w:tr w14:paraId="2AE07427">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49290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E2A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46CE0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E0B8F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6BEB2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4F7450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配合医疗保障部门开展智能监控审核稽核、履约</w:t>
            </w:r>
            <w:r>
              <w:rPr>
                <w:rFonts w:hint="eastAsia" w:ascii="仿宋_GB2312" w:hAnsi="仿宋_GB2312" w:eastAsia="仿宋_GB2312" w:cs="仿宋_GB2312"/>
                <w:color w:val="000000"/>
                <w:kern w:val="0"/>
                <w:sz w:val="22"/>
                <w:highlight w:val="none"/>
                <w:lang w:eastAsia="zh-CN" w:bidi="ar"/>
              </w:rPr>
              <w:t>评价</w:t>
            </w:r>
            <w:r>
              <w:rPr>
                <w:rFonts w:hint="eastAsia" w:ascii="仿宋_GB2312" w:hAnsi="仿宋_GB2312" w:eastAsia="仿宋_GB2312" w:cs="仿宋_GB2312"/>
                <w:color w:val="000000"/>
                <w:kern w:val="0"/>
                <w:sz w:val="22"/>
                <w:highlight w:val="none"/>
                <w:lang w:bidi="ar"/>
              </w:rPr>
              <w:t>、监督检查等。</w:t>
            </w:r>
          </w:p>
        </w:tc>
      </w:tr>
      <w:tr w14:paraId="14C9CA3E">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4C38F7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000000" w:sz="4" w:space="0"/>
              <w:left w:val="single" w:color="000000" w:sz="4" w:space="0"/>
              <w:bottom w:val="nil"/>
              <w:right w:val="single" w:color="000000" w:sz="4" w:space="0"/>
            </w:tcBorders>
            <w:noWrap w:val="0"/>
            <w:vAlign w:val="center"/>
          </w:tcPr>
          <w:p w14:paraId="3EDB669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服务质量</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E036A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1677F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就医指导</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BA441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CA098E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公布医保就医流程、设置明显的就医标识；设立医保患者挂号、结算窗口和门诊慢特病、特殊群体专用窗口。</w:t>
            </w:r>
          </w:p>
        </w:tc>
      </w:tr>
      <w:tr w14:paraId="332732A6">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8EC00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auto" w:sz="4" w:space="0"/>
              <w:right w:val="single" w:color="000000" w:sz="4" w:space="0"/>
            </w:tcBorders>
            <w:noWrap w:val="0"/>
            <w:vAlign w:val="center"/>
          </w:tcPr>
          <w:p w14:paraId="5D9E3B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1C547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01B4E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窗口服务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2E10A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50A68A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窗口工作人员热情耐心接待参保人，礼貌待人，使用规范化服务用语，有问必答，做到首问负责制，耐心做好解释工作。</w:t>
            </w:r>
          </w:p>
        </w:tc>
      </w:tr>
      <w:tr w14:paraId="780BBB09">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3CC4B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321670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E1A69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A5B80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接诊要求</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1CAE3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1EF890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执行首诊医师负责制，不得无故拒收、推诿参保人；住院期间不得要求参保人到门诊或药店购药（双通道购药除外）；不得要求住院参保人外购医保目录内药品。</w:t>
            </w:r>
          </w:p>
        </w:tc>
      </w:tr>
      <w:tr w14:paraId="2020F29D">
        <w:tblPrEx>
          <w:tblCellMar>
            <w:top w:w="0" w:type="dxa"/>
            <w:left w:w="108" w:type="dxa"/>
            <w:bottom w:w="0" w:type="dxa"/>
            <w:right w:w="108" w:type="dxa"/>
          </w:tblCellMar>
        </w:tblPrEx>
        <w:trPr>
          <w:trHeight w:val="35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1E09C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67A254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DB12B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62E6E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病案规范</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8BEDE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D7955D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①提高病案首页质量，按照国家统一规定规范填写病案首页，加强临床数据标准化、规范化管理，为推广按疾病诊断相关分组付费打牢基础；</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②接诊意外伤害的参保人时，须如实及时完整记录致伤原因和意外受伤的情形。</w:t>
            </w:r>
          </w:p>
        </w:tc>
      </w:tr>
      <w:tr w14:paraId="0FB307D6">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6AC4F7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6C0AB9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D3131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E0326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电子凭证</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5D126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A3767A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及时做好系统接口改造，满足参保人使用医保电子凭证就医，以扫码为交互方式，实现在线医保结算。</w:t>
            </w:r>
          </w:p>
        </w:tc>
      </w:tr>
      <w:tr w14:paraId="3D7ADD41">
        <w:tblPrEx>
          <w:tblCellMar>
            <w:top w:w="0" w:type="dxa"/>
            <w:left w:w="108" w:type="dxa"/>
            <w:bottom w:w="0" w:type="dxa"/>
            <w:right w:w="108" w:type="dxa"/>
          </w:tblCellMar>
        </w:tblPrEx>
        <w:trPr>
          <w:trHeight w:val="81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1AC1EE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575C1DB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4C79F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626A2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数据质量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01714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A12D38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①确保向医保经办机构传输的参保人就医、结算及其他相关信息均由信息系统自动生成，真实、准确并实时传输，不得人为篡改作假；</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②严格执行信息网络管理有关规定，做好数据备份。</w:t>
            </w:r>
          </w:p>
        </w:tc>
      </w:tr>
      <w:tr w14:paraId="09BA939B">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6B45E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2E3A70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auto" w:sz="4" w:space="0"/>
              <w:right w:val="single" w:color="000000" w:sz="4" w:space="0"/>
            </w:tcBorders>
            <w:noWrap w:val="0"/>
            <w:vAlign w:val="center"/>
          </w:tcPr>
          <w:p w14:paraId="04752A0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5A224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应急预案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1A31F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9B6B4B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制定应急预案，因信息系统出现故障并影响参保人就医结算时，须及时通知医保经办机构并启动应急预案，做好解释工作。</w:t>
            </w:r>
          </w:p>
        </w:tc>
      </w:tr>
      <w:tr w14:paraId="6660CA7D">
        <w:tblPrEx>
          <w:tblCellMar>
            <w:top w:w="0" w:type="dxa"/>
            <w:left w:w="108" w:type="dxa"/>
            <w:bottom w:w="0" w:type="dxa"/>
            <w:right w:w="108" w:type="dxa"/>
          </w:tblCellMar>
        </w:tblPrEx>
        <w:trPr>
          <w:trHeight w:val="135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4CC6C3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auto" w:sz="4" w:space="0"/>
            </w:tcBorders>
            <w:noWrap w:val="0"/>
            <w:vAlign w:val="center"/>
          </w:tcPr>
          <w:p w14:paraId="1CAE74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27FFFD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39</w:t>
            </w:r>
          </w:p>
        </w:tc>
        <w:tc>
          <w:tcPr>
            <w:tcW w:w="479" w:type="pct"/>
            <w:tcBorders>
              <w:top w:val="single" w:color="000000" w:sz="4" w:space="0"/>
              <w:left w:val="single" w:color="auto" w:sz="4" w:space="0"/>
              <w:bottom w:val="single" w:color="000000" w:sz="4" w:space="0"/>
              <w:right w:val="single" w:color="000000" w:sz="4" w:space="0"/>
            </w:tcBorders>
            <w:noWrap w:val="0"/>
            <w:vAlign w:val="center"/>
          </w:tcPr>
          <w:p w14:paraId="004E50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满意度评价</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6E9CE6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A64946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①满意度测评，采用随机公开的方式，发放满意度测评表，分别对住院参保患者和门诊参保患者满意度进行调查：门诊(住院)参保患者满意度=评价满意的被调查门诊(住院)参保患者人数/接受调查的门诊(住院)参保患者总数×100%</w:t>
            </w:r>
            <w:r>
              <w:rPr>
                <w:rFonts w:hint="eastAsia" w:ascii="仿宋_GB2312" w:hAnsi="仿宋_GB2312" w:eastAsia="仿宋_GB2312" w:cs="仿宋_GB2312"/>
                <w:color w:val="000000"/>
                <w:kern w:val="0"/>
                <w:sz w:val="22"/>
                <w:highlight w:val="none"/>
                <w:lang w:bidi="ar"/>
              </w:rPr>
              <w:br w:type="textWrapping"/>
            </w:r>
            <w:r>
              <w:rPr>
                <w:rFonts w:hint="eastAsia" w:ascii="仿宋_GB2312" w:hAnsi="仿宋_GB2312" w:eastAsia="仿宋_GB2312" w:cs="仿宋_GB2312"/>
                <w:color w:val="000000"/>
                <w:kern w:val="0"/>
                <w:sz w:val="22"/>
                <w:highlight w:val="none"/>
                <w:lang w:bidi="ar"/>
              </w:rPr>
              <w:t>②利用第三方评价，抽取部分药品、医用耗材供应商，对定点医疗机构结算和履约情况进行调查。</w:t>
            </w:r>
          </w:p>
        </w:tc>
      </w:tr>
      <w:tr w14:paraId="7EBACDB4">
        <w:tblPrEx>
          <w:tblCellMar>
            <w:top w:w="0" w:type="dxa"/>
            <w:left w:w="108" w:type="dxa"/>
            <w:bottom w:w="0" w:type="dxa"/>
            <w:right w:w="108" w:type="dxa"/>
          </w:tblCellMar>
        </w:tblPrEx>
        <w:trPr>
          <w:trHeight w:val="81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7F58B5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48C996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auto" w:sz="4" w:space="0"/>
              <w:left w:val="single" w:color="000000" w:sz="4" w:space="0"/>
              <w:bottom w:val="single" w:color="000000" w:sz="4" w:space="0"/>
              <w:right w:val="single" w:color="000000" w:sz="4" w:space="0"/>
            </w:tcBorders>
            <w:noWrap w:val="0"/>
            <w:vAlign w:val="center"/>
          </w:tcPr>
          <w:p w14:paraId="352C52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3C60A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媒体报道</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7100B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AD4535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eastAsia="zh-CN" w:bidi="ar"/>
              </w:rPr>
            </w:pPr>
            <w:r>
              <w:rPr>
                <w:rFonts w:hint="eastAsia" w:ascii="仿宋_GB2312" w:hAnsi="仿宋_GB2312" w:eastAsia="仿宋_GB2312" w:cs="仿宋_GB2312"/>
                <w:color w:val="000000"/>
                <w:kern w:val="0"/>
                <w:sz w:val="22"/>
                <w:highlight w:val="none"/>
                <w:lang w:bidi="ar"/>
              </w:rPr>
              <w:t>本机构被主流媒体报道，经医疗保障部门认可的，按照报道数量赋分。</w:t>
            </w:r>
            <w:r>
              <w:rPr>
                <w:rFonts w:hint="eastAsia" w:ascii="仿宋_GB2312" w:hAnsi="仿宋_GB2312" w:eastAsia="仿宋_GB2312" w:cs="仿宋_GB2312"/>
                <w:color w:val="000000"/>
                <w:kern w:val="0"/>
                <w:sz w:val="22"/>
                <w:highlight w:val="none"/>
                <w:lang w:eastAsia="zh-CN" w:bidi="ar"/>
              </w:rPr>
              <w:t>（加分项）</w:t>
            </w:r>
          </w:p>
        </w:tc>
      </w:tr>
      <w:tr w14:paraId="5648DB9F">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443DD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auto" w:sz="4" w:space="0"/>
              <w:left w:val="single" w:color="000000" w:sz="4" w:space="0"/>
              <w:bottom w:val="single" w:color="auto" w:sz="4" w:space="0"/>
              <w:right w:val="single" w:color="000000" w:sz="4" w:space="0"/>
            </w:tcBorders>
            <w:noWrap w:val="0"/>
            <w:vAlign w:val="center"/>
          </w:tcPr>
          <w:p w14:paraId="06EFDD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7DD43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CC20D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18037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D653BE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被医疗保障经办机构约谈的。</w:t>
            </w:r>
          </w:p>
        </w:tc>
      </w:tr>
      <w:tr w14:paraId="562A7479">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84DB5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71F787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146FC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E5BA2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通报</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AAD7E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C254DF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被医疗保障部门通报的。</w:t>
            </w:r>
          </w:p>
        </w:tc>
      </w:tr>
      <w:tr w14:paraId="4271DDEF">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712F9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6961EB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0114C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E03C4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追回费用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6172E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F77D26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被医疗保障经办机构追回费用。</w:t>
            </w:r>
          </w:p>
        </w:tc>
      </w:tr>
      <w:tr w14:paraId="76CCF413">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369E51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4E0151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4AE96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66987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拒付费用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5EA77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16F81F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被医疗保障经办机构拒付费用。</w:t>
            </w:r>
          </w:p>
        </w:tc>
      </w:tr>
      <w:tr w14:paraId="5E2CF9BC">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06DAE01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2A441A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46D65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120AB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中止协议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932A4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75E4C6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被医疗保障部门中止协议的。</w:t>
            </w:r>
          </w:p>
        </w:tc>
      </w:tr>
      <w:tr w14:paraId="4CD195FD">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36A51C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2C5F3F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68597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1801C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医保医师</w:t>
            </w:r>
          </w:p>
          <w:p w14:paraId="29BE0C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处理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E0380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762E0E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被暂停或中止</w:t>
            </w:r>
            <w:r>
              <w:rPr>
                <w:rFonts w:hint="eastAsia" w:ascii="仿宋_GB2312" w:hAnsi="仿宋_GB2312" w:eastAsia="仿宋_GB2312" w:cs="仿宋_GB2312"/>
                <w:color w:val="000000"/>
                <w:kern w:val="0"/>
                <w:sz w:val="22"/>
                <w:highlight w:val="none"/>
                <w:lang w:eastAsia="zh-CN" w:bidi="ar"/>
              </w:rPr>
              <w:t>医保支付资格</w:t>
            </w:r>
            <w:r>
              <w:rPr>
                <w:rFonts w:hint="eastAsia" w:ascii="仿宋_GB2312" w:hAnsi="仿宋_GB2312" w:eastAsia="仿宋_GB2312" w:cs="仿宋_GB2312"/>
                <w:color w:val="000000"/>
                <w:kern w:val="0"/>
                <w:sz w:val="22"/>
                <w:highlight w:val="none"/>
                <w:lang w:bidi="ar"/>
              </w:rPr>
              <w:t>的。</w:t>
            </w:r>
          </w:p>
        </w:tc>
      </w:tr>
      <w:tr w14:paraId="545EA312">
        <w:tblPrEx>
          <w:tblCellMar>
            <w:top w:w="0" w:type="dxa"/>
            <w:left w:w="108" w:type="dxa"/>
            <w:bottom w:w="0" w:type="dxa"/>
            <w:right w:w="108" w:type="dxa"/>
          </w:tblCellMar>
        </w:tblPrEx>
        <w:trPr>
          <w:trHeight w:val="27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3E7593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148CCC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82281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91801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科室处理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27254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174097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w:t>
            </w:r>
            <w:r>
              <w:rPr>
                <w:rFonts w:hint="eastAsia" w:ascii="仿宋_GB2312" w:hAnsi="仿宋_GB2312" w:eastAsia="仿宋_GB2312" w:cs="仿宋_GB2312"/>
                <w:color w:val="000000"/>
                <w:kern w:val="0"/>
                <w:sz w:val="22"/>
                <w:highlight w:val="none"/>
                <w:lang w:eastAsia="zh-CN" w:bidi="ar"/>
              </w:rPr>
              <w:t>中止</w:t>
            </w:r>
            <w:r>
              <w:rPr>
                <w:rFonts w:hint="eastAsia" w:ascii="仿宋_GB2312" w:hAnsi="仿宋_GB2312" w:eastAsia="仿宋_GB2312" w:cs="仿宋_GB2312"/>
                <w:color w:val="000000"/>
                <w:kern w:val="0"/>
                <w:sz w:val="22"/>
                <w:highlight w:val="none"/>
                <w:lang w:bidi="ar"/>
              </w:rPr>
              <w:t>医疗保障结算的。</w:t>
            </w:r>
          </w:p>
        </w:tc>
      </w:tr>
      <w:tr w14:paraId="6DB5D740">
        <w:tblPrEx>
          <w:tblCellMar>
            <w:top w:w="0" w:type="dxa"/>
            <w:left w:w="108" w:type="dxa"/>
            <w:bottom w:w="0" w:type="dxa"/>
            <w:right w:w="108" w:type="dxa"/>
          </w:tblCellMar>
        </w:tblPrEx>
        <w:trPr>
          <w:trHeight w:val="638" w:hRule="atLeast"/>
          <w:jc w:val="center"/>
        </w:trPr>
        <w:tc>
          <w:tcPr>
            <w:tcW w:w="282" w:type="pct"/>
            <w:vMerge w:val="restart"/>
            <w:tcBorders>
              <w:top w:val="single" w:color="auto" w:sz="4" w:space="0"/>
              <w:left w:val="single" w:color="000000" w:sz="4" w:space="0"/>
              <w:bottom w:val="single" w:color="auto" w:sz="4" w:space="0"/>
              <w:right w:val="single" w:color="000000" w:sz="4" w:space="0"/>
            </w:tcBorders>
            <w:noWrap w:val="0"/>
            <w:vAlign w:val="center"/>
          </w:tcPr>
          <w:p w14:paraId="48080A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基金监管</w:t>
            </w:r>
          </w:p>
        </w:tc>
        <w:tc>
          <w:tcPr>
            <w:tcW w:w="277" w:type="pct"/>
            <w:vMerge w:val="restart"/>
            <w:tcBorders>
              <w:top w:val="single" w:color="auto" w:sz="4" w:space="0"/>
              <w:left w:val="single" w:color="000000" w:sz="4" w:space="0"/>
              <w:bottom w:val="single" w:color="auto" w:sz="4" w:space="0"/>
              <w:right w:val="single" w:color="000000" w:sz="4" w:space="0"/>
            </w:tcBorders>
            <w:noWrap w:val="0"/>
            <w:vAlign w:val="center"/>
          </w:tcPr>
          <w:p w14:paraId="4E3B7D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一般处理</w:t>
            </w:r>
          </w:p>
        </w:tc>
        <w:tc>
          <w:tcPr>
            <w:tcW w:w="284" w:type="pct"/>
            <w:tcBorders>
              <w:top w:val="single" w:color="000000" w:sz="4" w:space="0"/>
              <w:left w:val="single" w:color="000000" w:sz="4" w:space="0"/>
              <w:right w:val="single" w:color="000000" w:sz="4" w:space="0"/>
            </w:tcBorders>
            <w:noWrap w:val="0"/>
            <w:vAlign w:val="center"/>
          </w:tcPr>
          <w:p w14:paraId="073334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48</w:t>
            </w:r>
          </w:p>
        </w:tc>
        <w:tc>
          <w:tcPr>
            <w:tcW w:w="479" w:type="pct"/>
            <w:tcBorders>
              <w:top w:val="single" w:color="000000" w:sz="4" w:space="0"/>
              <w:left w:val="single" w:color="000000" w:sz="4" w:space="0"/>
              <w:right w:val="single" w:color="000000" w:sz="4" w:space="0"/>
            </w:tcBorders>
            <w:noWrap w:val="0"/>
            <w:vAlign w:val="center"/>
          </w:tcPr>
          <w:p w14:paraId="633800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约谈</w:t>
            </w:r>
          </w:p>
        </w:tc>
        <w:tc>
          <w:tcPr>
            <w:tcW w:w="430" w:type="pct"/>
            <w:tcBorders>
              <w:top w:val="single" w:color="000000" w:sz="4" w:space="0"/>
              <w:left w:val="single" w:color="000000" w:sz="4" w:space="0"/>
              <w:right w:val="single" w:color="000000" w:sz="4" w:space="0"/>
            </w:tcBorders>
            <w:noWrap w:val="0"/>
            <w:vAlign w:val="center"/>
          </w:tcPr>
          <w:p w14:paraId="4F18E4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right w:val="single" w:color="000000" w:sz="4" w:space="0"/>
            </w:tcBorders>
            <w:noWrap w:val="0"/>
            <w:vAlign w:val="center"/>
          </w:tcPr>
          <w:p w14:paraId="2E99B30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被医疗保障部门约谈的。</w:t>
            </w:r>
          </w:p>
        </w:tc>
      </w:tr>
      <w:tr w14:paraId="3625FC46">
        <w:tblPrEx>
          <w:tblCellMar>
            <w:top w:w="0" w:type="dxa"/>
            <w:left w:w="108" w:type="dxa"/>
            <w:bottom w:w="0" w:type="dxa"/>
            <w:right w:w="108" w:type="dxa"/>
          </w:tblCellMar>
        </w:tblPrEx>
        <w:trPr>
          <w:trHeight w:val="668"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2D4E87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auto" w:sz="4" w:space="0"/>
              <w:left w:val="single" w:color="000000" w:sz="4" w:space="0"/>
              <w:bottom w:val="single" w:color="auto" w:sz="4" w:space="0"/>
              <w:right w:val="single" w:color="000000" w:sz="4" w:space="0"/>
            </w:tcBorders>
            <w:noWrap w:val="0"/>
            <w:vAlign w:val="center"/>
          </w:tcPr>
          <w:p w14:paraId="5747FE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right w:val="single" w:color="000000" w:sz="4" w:space="0"/>
            </w:tcBorders>
            <w:noWrap w:val="0"/>
            <w:vAlign w:val="center"/>
          </w:tcPr>
          <w:p w14:paraId="66CDC9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49</w:t>
            </w:r>
          </w:p>
        </w:tc>
        <w:tc>
          <w:tcPr>
            <w:tcW w:w="479" w:type="pct"/>
            <w:tcBorders>
              <w:top w:val="single" w:color="000000" w:sz="4" w:space="0"/>
              <w:left w:val="single" w:color="000000" w:sz="4" w:space="0"/>
              <w:right w:val="single" w:color="000000" w:sz="4" w:space="0"/>
            </w:tcBorders>
            <w:noWrap w:val="0"/>
            <w:vAlign w:val="center"/>
          </w:tcPr>
          <w:p w14:paraId="16C5D4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整改</w:t>
            </w:r>
          </w:p>
        </w:tc>
        <w:tc>
          <w:tcPr>
            <w:tcW w:w="430" w:type="pct"/>
            <w:tcBorders>
              <w:top w:val="single" w:color="000000" w:sz="4" w:space="0"/>
              <w:left w:val="single" w:color="000000" w:sz="4" w:space="0"/>
              <w:right w:val="single" w:color="000000" w:sz="4" w:space="0"/>
            </w:tcBorders>
            <w:noWrap w:val="0"/>
            <w:vAlign w:val="center"/>
          </w:tcPr>
          <w:p w14:paraId="21C336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right w:val="single" w:color="000000" w:sz="4" w:space="0"/>
            </w:tcBorders>
            <w:noWrap w:val="0"/>
            <w:vAlign w:val="center"/>
          </w:tcPr>
          <w:p w14:paraId="41967AA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被医疗保障部门责令整改的。</w:t>
            </w:r>
          </w:p>
        </w:tc>
      </w:tr>
      <w:tr w14:paraId="166924B2">
        <w:tblPrEx>
          <w:tblCellMar>
            <w:top w:w="0" w:type="dxa"/>
            <w:left w:w="108" w:type="dxa"/>
            <w:bottom w:w="0" w:type="dxa"/>
            <w:right w:w="108" w:type="dxa"/>
          </w:tblCellMar>
        </w:tblPrEx>
        <w:trPr>
          <w:trHeight w:val="994"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1C11BD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top w:val="single" w:color="auto" w:sz="4" w:space="0"/>
              <w:left w:val="single" w:color="000000" w:sz="4" w:space="0"/>
              <w:right w:val="single" w:color="000000" w:sz="4" w:space="0"/>
            </w:tcBorders>
            <w:noWrap w:val="0"/>
            <w:vAlign w:val="center"/>
          </w:tcPr>
          <w:p w14:paraId="632FDA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行政处罚</w:t>
            </w:r>
          </w:p>
        </w:tc>
        <w:tc>
          <w:tcPr>
            <w:tcW w:w="284" w:type="pct"/>
            <w:tcBorders>
              <w:top w:val="single" w:color="000000" w:sz="4" w:space="0"/>
              <w:left w:val="single" w:color="000000" w:sz="4" w:space="0"/>
              <w:right w:val="single" w:color="000000" w:sz="4" w:space="0"/>
            </w:tcBorders>
            <w:noWrap w:val="0"/>
            <w:vAlign w:val="center"/>
          </w:tcPr>
          <w:p w14:paraId="700906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50</w:t>
            </w:r>
          </w:p>
        </w:tc>
        <w:tc>
          <w:tcPr>
            <w:tcW w:w="479" w:type="pct"/>
            <w:tcBorders>
              <w:top w:val="single" w:color="000000" w:sz="4" w:space="0"/>
              <w:left w:val="single" w:color="000000" w:sz="4" w:space="0"/>
              <w:right w:val="single" w:color="000000" w:sz="4" w:space="0"/>
            </w:tcBorders>
            <w:noWrap w:val="0"/>
            <w:vAlign w:val="center"/>
          </w:tcPr>
          <w:p w14:paraId="1C1A47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罚款</w:t>
            </w:r>
          </w:p>
        </w:tc>
        <w:tc>
          <w:tcPr>
            <w:tcW w:w="430" w:type="pct"/>
            <w:tcBorders>
              <w:top w:val="single" w:color="000000" w:sz="4" w:space="0"/>
              <w:left w:val="single" w:color="000000" w:sz="4" w:space="0"/>
              <w:right w:val="single" w:color="000000" w:sz="4" w:space="0"/>
            </w:tcBorders>
            <w:noWrap w:val="0"/>
            <w:vAlign w:val="center"/>
          </w:tcPr>
          <w:p w14:paraId="550186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right w:val="single" w:color="000000" w:sz="4" w:space="0"/>
            </w:tcBorders>
            <w:noWrap w:val="0"/>
            <w:vAlign w:val="center"/>
          </w:tcPr>
          <w:p w14:paraId="597BB12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被医疗保障行政部门罚款。</w:t>
            </w:r>
          </w:p>
        </w:tc>
      </w:tr>
      <w:tr w14:paraId="66E675EB">
        <w:tblPrEx>
          <w:tblCellMar>
            <w:top w:w="0" w:type="dxa"/>
            <w:left w:w="108" w:type="dxa"/>
            <w:bottom w:w="0" w:type="dxa"/>
            <w:right w:w="108" w:type="dxa"/>
          </w:tblCellMar>
        </w:tblPrEx>
        <w:trPr>
          <w:trHeight w:val="540" w:hRule="atLeast"/>
          <w:jc w:val="center"/>
        </w:trPr>
        <w:tc>
          <w:tcPr>
            <w:tcW w:w="282" w:type="pct"/>
            <w:vMerge w:val="continue"/>
            <w:tcBorders>
              <w:top w:val="single" w:color="auto" w:sz="4" w:space="0"/>
              <w:left w:val="single" w:color="000000" w:sz="4" w:space="0"/>
              <w:bottom w:val="single" w:color="auto" w:sz="4" w:space="0"/>
              <w:right w:val="single" w:color="000000" w:sz="4" w:space="0"/>
            </w:tcBorders>
            <w:noWrap w:val="0"/>
            <w:vAlign w:val="center"/>
          </w:tcPr>
          <w:p w14:paraId="5E60BC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770100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其他行为</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57B046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51</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53FC2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其他行为</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2B11C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FCD498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其他骗取医疗保障基金支出的行为。</w:t>
            </w:r>
          </w:p>
        </w:tc>
      </w:tr>
      <w:tr w14:paraId="6C96BD95">
        <w:tblPrEx>
          <w:tblCellMar>
            <w:top w:w="0" w:type="dxa"/>
            <w:left w:w="108" w:type="dxa"/>
            <w:bottom w:w="0" w:type="dxa"/>
            <w:right w:w="108" w:type="dxa"/>
          </w:tblCellMar>
        </w:tblPrEx>
        <w:trPr>
          <w:trHeight w:val="540" w:hRule="atLeast"/>
          <w:jc w:val="center"/>
        </w:trPr>
        <w:tc>
          <w:tcPr>
            <w:tcW w:w="282" w:type="pct"/>
            <w:tcBorders>
              <w:top w:val="single" w:color="auto" w:sz="4" w:space="0"/>
              <w:left w:val="single" w:color="000000" w:sz="4" w:space="0"/>
              <w:bottom w:val="single" w:color="000000" w:sz="4" w:space="0"/>
              <w:right w:val="single" w:color="000000" w:sz="4" w:space="0"/>
            </w:tcBorders>
            <w:noWrap w:val="0"/>
            <w:vAlign w:val="center"/>
          </w:tcPr>
          <w:p w14:paraId="2A680C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社会信用</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6BEADE0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833490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52</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98F79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50696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7DCEC6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被政府有关行政部门给予行政处罚情况。</w:t>
            </w:r>
          </w:p>
        </w:tc>
      </w:tr>
      <w:tr w14:paraId="69BBA1FB">
        <w:tblPrEx>
          <w:tblCellMar>
            <w:top w:w="0" w:type="dxa"/>
            <w:left w:w="108" w:type="dxa"/>
            <w:bottom w:w="0" w:type="dxa"/>
            <w:right w:w="108" w:type="dxa"/>
          </w:tblCellMar>
        </w:tblPrEx>
        <w:trPr>
          <w:trHeight w:val="54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4DE6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表彰奖励</w:t>
            </w: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9305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受到表彰</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0FF8B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2F6AB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政府表彰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AAAF7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407F4D9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受到党委、人民政府表彰奖励的。</w:t>
            </w:r>
          </w:p>
        </w:tc>
      </w:tr>
      <w:tr w14:paraId="3A3C94FE">
        <w:tblPrEx>
          <w:tblCellMar>
            <w:top w:w="0" w:type="dxa"/>
            <w:left w:w="108" w:type="dxa"/>
            <w:bottom w:w="0" w:type="dxa"/>
            <w:right w:w="108" w:type="dxa"/>
          </w:tblCellMar>
        </w:tblPrEx>
        <w:trPr>
          <w:trHeight w:val="27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CE56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79D0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6CE5A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A54F9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医保表彰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91CDD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EFE2EB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受到医疗保障行政部门通报表扬。</w:t>
            </w:r>
          </w:p>
        </w:tc>
      </w:tr>
      <w:tr w14:paraId="0AC2EBA8">
        <w:tblPrEx>
          <w:tblCellMar>
            <w:top w:w="0" w:type="dxa"/>
            <w:left w:w="108" w:type="dxa"/>
            <w:bottom w:w="0" w:type="dxa"/>
            <w:right w:w="108" w:type="dxa"/>
          </w:tblCellMar>
        </w:tblPrEx>
        <w:trPr>
          <w:trHeight w:val="27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21D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2DA7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6597F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B8B88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参与试点</w:t>
            </w:r>
          </w:p>
          <w:p w14:paraId="78DC56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改革</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B9477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18CA7A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积极参与市级及以上医保试点改革等工作的，受到医疗保障部门认可，并出具相关证明材料。</w:t>
            </w:r>
          </w:p>
        </w:tc>
      </w:tr>
      <w:tr w14:paraId="48D9BE5E">
        <w:tblPrEx>
          <w:tblCellMar>
            <w:top w:w="0" w:type="dxa"/>
            <w:left w:w="108" w:type="dxa"/>
            <w:bottom w:w="0" w:type="dxa"/>
            <w:right w:w="108" w:type="dxa"/>
          </w:tblCellMar>
        </w:tblPrEx>
        <w:trPr>
          <w:trHeight w:val="27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35F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4C90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84DD6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C54A4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药品采购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808E9D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ign w:val="center"/>
          </w:tcPr>
          <w:p w14:paraId="0073AB8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属于医保基金结算的药品,非公立医疗机构按照不高于采购平台中标或挂网价向参保人销售。</w:t>
            </w:r>
          </w:p>
        </w:tc>
      </w:tr>
      <w:tr w14:paraId="26FE20F5">
        <w:tblPrEx>
          <w:tblCellMar>
            <w:top w:w="0" w:type="dxa"/>
            <w:left w:w="108" w:type="dxa"/>
            <w:bottom w:w="0" w:type="dxa"/>
            <w:right w:w="108" w:type="dxa"/>
          </w:tblCellMar>
        </w:tblPrEx>
        <w:trPr>
          <w:trHeight w:val="54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D27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BB44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D9F9B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06CAB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自查自纠</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6245B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ign w:val="center"/>
          </w:tcPr>
          <w:p w14:paraId="5036ACA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按照主动回退金额予以加分。</w:t>
            </w:r>
          </w:p>
        </w:tc>
      </w:tr>
      <w:tr w14:paraId="7BB94310">
        <w:tblPrEx>
          <w:tblCellMar>
            <w:top w:w="0" w:type="dxa"/>
            <w:left w:w="108" w:type="dxa"/>
            <w:bottom w:w="0" w:type="dxa"/>
            <w:right w:w="108" w:type="dxa"/>
          </w:tblCellMar>
        </w:tblPrEx>
        <w:trPr>
          <w:trHeight w:val="27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CA1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54B2A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公益活动</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69F6AC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80E3F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公益活动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7BF8B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F5C2FD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主动参加医疗保障部门组织的公益活动，受到医疗保障部门认可。</w:t>
            </w:r>
          </w:p>
        </w:tc>
      </w:tr>
      <w:tr w14:paraId="06009929">
        <w:tblPrEx>
          <w:tblCellMar>
            <w:top w:w="0" w:type="dxa"/>
            <w:left w:w="108" w:type="dxa"/>
            <w:bottom w:w="0" w:type="dxa"/>
            <w:right w:w="108" w:type="dxa"/>
          </w:tblCellMar>
        </w:tblPrEx>
        <w:trPr>
          <w:trHeight w:val="540" w:hRule="atLeast"/>
          <w:jc w:val="center"/>
        </w:trPr>
        <w:tc>
          <w:tcPr>
            <w:tcW w:w="282" w:type="pct"/>
            <w:vMerge w:val="continue"/>
            <w:tcBorders>
              <w:top w:val="single" w:color="000000" w:sz="4" w:space="0"/>
              <w:left w:val="single" w:color="000000" w:sz="4" w:space="0"/>
              <w:bottom w:val="single" w:color="auto" w:sz="4" w:space="0"/>
              <w:right w:val="single" w:color="000000" w:sz="4" w:space="0"/>
            </w:tcBorders>
            <w:noWrap w:val="0"/>
            <w:vAlign w:val="center"/>
          </w:tcPr>
          <w:p w14:paraId="023919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top w:val="single" w:color="000000" w:sz="4" w:space="0"/>
              <w:left w:val="single" w:color="000000" w:sz="4" w:space="0"/>
              <w:bottom w:val="single" w:color="auto" w:sz="4" w:space="0"/>
              <w:right w:val="single" w:color="000000" w:sz="4" w:space="0"/>
            </w:tcBorders>
            <w:noWrap w:val="0"/>
            <w:vAlign w:val="center"/>
          </w:tcPr>
          <w:p w14:paraId="457D73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其他奖励情况</w:t>
            </w:r>
          </w:p>
        </w:tc>
        <w:tc>
          <w:tcPr>
            <w:tcW w:w="284" w:type="pct"/>
            <w:tcBorders>
              <w:top w:val="single" w:color="000000" w:sz="4" w:space="0"/>
              <w:left w:val="single" w:color="000000" w:sz="4" w:space="0"/>
              <w:bottom w:val="single" w:color="auto" w:sz="4" w:space="0"/>
              <w:right w:val="single" w:color="000000" w:sz="4" w:space="0"/>
            </w:tcBorders>
            <w:noWrap w:val="0"/>
            <w:vAlign w:val="center"/>
          </w:tcPr>
          <w:p w14:paraId="102F08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59</w:t>
            </w:r>
          </w:p>
        </w:tc>
        <w:tc>
          <w:tcPr>
            <w:tcW w:w="479" w:type="pct"/>
            <w:tcBorders>
              <w:top w:val="single" w:color="000000" w:sz="4" w:space="0"/>
              <w:left w:val="single" w:color="000000" w:sz="4" w:space="0"/>
              <w:bottom w:val="single" w:color="auto" w:sz="4" w:space="0"/>
              <w:right w:val="single" w:color="000000" w:sz="4" w:space="0"/>
            </w:tcBorders>
            <w:noWrap w:val="0"/>
            <w:vAlign w:val="center"/>
          </w:tcPr>
          <w:p w14:paraId="3FB5E4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其他奖励</w:t>
            </w:r>
          </w:p>
          <w:p w14:paraId="52B24D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情况</w:t>
            </w:r>
          </w:p>
        </w:tc>
        <w:tc>
          <w:tcPr>
            <w:tcW w:w="430" w:type="pct"/>
            <w:tcBorders>
              <w:top w:val="single" w:color="000000" w:sz="4" w:space="0"/>
              <w:left w:val="single" w:color="000000" w:sz="4" w:space="0"/>
              <w:bottom w:val="single" w:color="auto" w:sz="4" w:space="0"/>
              <w:right w:val="single" w:color="000000" w:sz="4" w:space="0"/>
            </w:tcBorders>
            <w:noWrap w:val="0"/>
            <w:vAlign w:val="center"/>
          </w:tcPr>
          <w:p w14:paraId="596765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000000" w:sz="4" w:space="0"/>
              <w:left w:val="single" w:color="000000" w:sz="4" w:space="0"/>
              <w:bottom w:val="single" w:color="auto" w:sz="4" w:space="0"/>
              <w:right w:val="single" w:color="000000" w:sz="4" w:space="0"/>
            </w:tcBorders>
            <w:noWrap w:val="0"/>
            <w:vAlign w:val="center"/>
          </w:tcPr>
          <w:p w14:paraId="50AE401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医疗保障部门认定的其他奖励性措施。</w:t>
            </w:r>
          </w:p>
        </w:tc>
      </w:tr>
      <w:tr w14:paraId="26EC7DF6">
        <w:tblPrEx>
          <w:tblCellMar>
            <w:top w:w="0" w:type="dxa"/>
            <w:left w:w="108" w:type="dxa"/>
            <w:bottom w:w="0" w:type="dxa"/>
            <w:right w:w="108" w:type="dxa"/>
          </w:tblCellMar>
        </w:tblPrEx>
        <w:trPr>
          <w:trHeight w:val="540" w:hRule="atLeast"/>
          <w:jc w:val="center"/>
        </w:trPr>
        <w:tc>
          <w:tcPr>
            <w:tcW w:w="282" w:type="pct"/>
            <w:vMerge w:val="restart"/>
            <w:tcBorders>
              <w:top w:val="single" w:color="auto" w:sz="4" w:space="0"/>
              <w:left w:val="single" w:color="auto" w:sz="4" w:space="0"/>
              <w:right w:val="single" w:color="auto" w:sz="4" w:space="0"/>
            </w:tcBorders>
            <w:noWrap w:val="0"/>
            <w:vAlign w:val="center"/>
          </w:tcPr>
          <w:p w14:paraId="6F1070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eastAsia="zh-CN" w:bidi="ar"/>
              </w:rPr>
            </w:pPr>
            <w:r>
              <w:rPr>
                <w:rFonts w:hint="eastAsia" w:ascii="仿宋_GB2312" w:hAnsi="仿宋_GB2312" w:eastAsia="仿宋_GB2312" w:cs="仿宋_GB2312"/>
                <w:color w:val="000000"/>
                <w:kern w:val="0"/>
                <w:sz w:val="22"/>
                <w:highlight w:val="none"/>
                <w:lang w:bidi="ar"/>
              </w:rPr>
              <w:t>否决</w:t>
            </w:r>
            <w:r>
              <w:rPr>
                <w:rFonts w:hint="eastAsia" w:ascii="仿宋_GB2312" w:hAnsi="仿宋_GB2312" w:eastAsia="仿宋_GB2312" w:cs="仿宋_GB2312"/>
                <w:color w:val="000000"/>
                <w:kern w:val="0"/>
                <w:sz w:val="22"/>
                <w:highlight w:val="none"/>
                <w:lang w:eastAsia="zh-CN" w:bidi="ar"/>
              </w:rPr>
              <w:t>项</w:t>
            </w:r>
          </w:p>
        </w:tc>
        <w:tc>
          <w:tcPr>
            <w:tcW w:w="277" w:type="pct"/>
            <w:tcBorders>
              <w:top w:val="single" w:color="auto" w:sz="4" w:space="0"/>
              <w:left w:val="single" w:color="auto" w:sz="4" w:space="0"/>
              <w:bottom w:val="single" w:color="auto" w:sz="4" w:space="0"/>
              <w:right w:val="single" w:color="auto" w:sz="4" w:space="0"/>
            </w:tcBorders>
            <w:noWrap w:val="0"/>
            <w:vAlign w:val="center"/>
          </w:tcPr>
          <w:p w14:paraId="7A0A27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失信被执行人</w:t>
            </w:r>
          </w:p>
        </w:tc>
        <w:tc>
          <w:tcPr>
            <w:tcW w:w="284" w:type="pct"/>
            <w:tcBorders>
              <w:top w:val="single" w:color="auto" w:sz="4" w:space="0"/>
              <w:left w:val="single" w:color="auto" w:sz="4" w:space="0"/>
              <w:bottom w:val="single" w:color="auto" w:sz="4" w:space="0"/>
              <w:right w:val="single" w:color="auto" w:sz="4" w:space="0"/>
            </w:tcBorders>
            <w:noWrap w:val="0"/>
            <w:vAlign w:val="center"/>
          </w:tcPr>
          <w:p w14:paraId="41F377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60</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5A6945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失信被执行人</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4E4947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auto" w:sz="4" w:space="0"/>
              <w:left w:val="single" w:color="auto" w:sz="4" w:space="0"/>
              <w:bottom w:val="single" w:color="auto" w:sz="4" w:space="0"/>
              <w:right w:val="single" w:color="auto" w:sz="4" w:space="0"/>
            </w:tcBorders>
            <w:noWrap w:val="0"/>
            <w:vAlign w:val="center"/>
          </w:tcPr>
          <w:p w14:paraId="37BB7A3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医疗机构或其法人被纳入公共信用系统失信名单的情况。</w:t>
            </w:r>
          </w:p>
        </w:tc>
      </w:tr>
      <w:tr w14:paraId="2E767CAD">
        <w:tblPrEx>
          <w:tblCellMar>
            <w:top w:w="0" w:type="dxa"/>
            <w:left w:w="108" w:type="dxa"/>
            <w:bottom w:w="0" w:type="dxa"/>
            <w:right w:w="108" w:type="dxa"/>
          </w:tblCellMar>
        </w:tblPrEx>
        <w:trPr>
          <w:trHeight w:val="540" w:hRule="atLeast"/>
          <w:jc w:val="center"/>
        </w:trPr>
        <w:tc>
          <w:tcPr>
            <w:tcW w:w="282" w:type="pct"/>
            <w:vMerge w:val="continue"/>
            <w:tcBorders>
              <w:left w:val="single" w:color="auto" w:sz="4" w:space="0"/>
              <w:right w:val="single" w:color="auto" w:sz="4" w:space="0"/>
            </w:tcBorders>
            <w:noWrap w:val="0"/>
            <w:vAlign w:val="top"/>
          </w:tcPr>
          <w:p w14:paraId="4F5555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left w:val="single" w:color="auto" w:sz="4" w:space="0"/>
              <w:bottom w:val="single" w:color="auto" w:sz="4" w:space="0"/>
              <w:right w:val="single" w:color="auto" w:sz="4" w:space="0"/>
            </w:tcBorders>
            <w:noWrap w:val="0"/>
            <w:vAlign w:val="top"/>
          </w:tcPr>
          <w:p w14:paraId="55DA42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司法处理</w:t>
            </w:r>
          </w:p>
        </w:tc>
        <w:tc>
          <w:tcPr>
            <w:tcW w:w="284" w:type="pct"/>
            <w:tcBorders>
              <w:top w:val="single" w:color="auto" w:sz="4" w:space="0"/>
              <w:left w:val="single" w:color="auto" w:sz="4" w:space="0"/>
              <w:bottom w:val="single" w:color="auto" w:sz="4" w:space="0"/>
              <w:right w:val="single" w:color="auto" w:sz="4" w:space="0"/>
            </w:tcBorders>
            <w:noWrap w:val="0"/>
            <w:vAlign w:val="center"/>
          </w:tcPr>
          <w:p w14:paraId="1F5B25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61</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2D7361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欺诈骗保</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B940B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auto" w:sz="4" w:space="0"/>
              <w:left w:val="single" w:color="auto" w:sz="4" w:space="0"/>
              <w:bottom w:val="single" w:color="auto" w:sz="4" w:space="0"/>
              <w:right w:val="single" w:color="auto" w:sz="4" w:space="0"/>
            </w:tcBorders>
            <w:noWrap w:val="0"/>
            <w:vAlign w:val="center"/>
          </w:tcPr>
          <w:p w14:paraId="3CD5047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定点医疗机构及其工作人员因欺诈、伪造证明材料或其他手段骗取医疗保障基金或者医疗保障待遇被司法机关追究刑事责任的。</w:t>
            </w:r>
          </w:p>
        </w:tc>
      </w:tr>
      <w:tr w14:paraId="40F12152">
        <w:tblPrEx>
          <w:tblCellMar>
            <w:top w:w="0" w:type="dxa"/>
            <w:left w:w="108" w:type="dxa"/>
            <w:bottom w:w="0" w:type="dxa"/>
            <w:right w:w="108" w:type="dxa"/>
          </w:tblCellMar>
        </w:tblPrEx>
        <w:trPr>
          <w:trHeight w:val="540" w:hRule="atLeast"/>
          <w:jc w:val="center"/>
        </w:trPr>
        <w:tc>
          <w:tcPr>
            <w:tcW w:w="282" w:type="pct"/>
            <w:vMerge w:val="continue"/>
            <w:tcBorders>
              <w:left w:val="single" w:color="auto" w:sz="4" w:space="0"/>
              <w:right w:val="single" w:color="auto" w:sz="4" w:space="0"/>
            </w:tcBorders>
            <w:noWrap w:val="0"/>
            <w:vAlign w:val="top"/>
          </w:tcPr>
          <w:p w14:paraId="03D6C4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restart"/>
            <w:tcBorders>
              <w:top w:val="single" w:color="auto" w:sz="4" w:space="0"/>
              <w:left w:val="single" w:color="auto" w:sz="4" w:space="0"/>
              <w:right w:val="single" w:color="auto" w:sz="4" w:space="0"/>
            </w:tcBorders>
            <w:noWrap w:val="0"/>
            <w:vAlign w:val="center"/>
          </w:tcPr>
          <w:p w14:paraId="047046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协议处理</w:t>
            </w:r>
          </w:p>
        </w:tc>
        <w:tc>
          <w:tcPr>
            <w:tcW w:w="284" w:type="pct"/>
            <w:tcBorders>
              <w:top w:val="single" w:color="auto" w:sz="4" w:space="0"/>
              <w:left w:val="single" w:color="auto" w:sz="4" w:space="0"/>
              <w:bottom w:val="single" w:color="auto" w:sz="4" w:space="0"/>
              <w:right w:val="single" w:color="auto" w:sz="4" w:space="0"/>
            </w:tcBorders>
            <w:noWrap w:val="0"/>
            <w:vAlign w:val="center"/>
          </w:tcPr>
          <w:p w14:paraId="726483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62</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28B642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解除协议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754FA5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auto" w:sz="4" w:space="0"/>
              <w:left w:val="single" w:color="auto" w:sz="4" w:space="0"/>
              <w:bottom w:val="single" w:color="auto" w:sz="4" w:space="0"/>
              <w:right w:val="single" w:color="auto" w:sz="4" w:space="0"/>
            </w:tcBorders>
            <w:noWrap w:val="0"/>
            <w:vAlign w:val="center"/>
          </w:tcPr>
          <w:p w14:paraId="08B34D1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被医疗保障部门解除协议的。</w:t>
            </w:r>
          </w:p>
        </w:tc>
      </w:tr>
      <w:tr w14:paraId="06AAA9C1">
        <w:tblPrEx>
          <w:tblCellMar>
            <w:top w:w="0" w:type="dxa"/>
            <w:left w:w="108" w:type="dxa"/>
            <w:bottom w:w="0" w:type="dxa"/>
            <w:right w:w="108" w:type="dxa"/>
          </w:tblCellMar>
        </w:tblPrEx>
        <w:trPr>
          <w:trHeight w:val="540" w:hRule="atLeast"/>
          <w:jc w:val="center"/>
        </w:trPr>
        <w:tc>
          <w:tcPr>
            <w:tcW w:w="282" w:type="pct"/>
            <w:vMerge w:val="continue"/>
            <w:tcBorders>
              <w:left w:val="single" w:color="auto" w:sz="4" w:space="0"/>
              <w:right w:val="single" w:color="auto" w:sz="4" w:space="0"/>
            </w:tcBorders>
            <w:noWrap w:val="0"/>
            <w:vAlign w:val="top"/>
          </w:tcPr>
          <w:p w14:paraId="09DECF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vMerge w:val="continue"/>
            <w:tcBorders>
              <w:left w:val="single" w:color="auto" w:sz="4" w:space="0"/>
              <w:bottom w:val="single" w:color="auto" w:sz="4" w:space="0"/>
              <w:right w:val="single" w:color="auto" w:sz="4" w:space="0"/>
            </w:tcBorders>
            <w:noWrap w:val="0"/>
            <w:vAlign w:val="top"/>
          </w:tcPr>
          <w:p w14:paraId="233439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664BF9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63</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181DD5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变更备案</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75AB3B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auto" w:sz="4" w:space="0"/>
              <w:left w:val="single" w:color="auto" w:sz="4" w:space="0"/>
              <w:bottom w:val="single" w:color="auto" w:sz="4" w:space="0"/>
              <w:right w:val="single" w:color="auto" w:sz="4" w:space="0"/>
            </w:tcBorders>
            <w:noWrap w:val="0"/>
            <w:vAlign w:val="center"/>
          </w:tcPr>
          <w:p w14:paraId="17504B1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医疗机构名称、执业地址等发生变化时，及时向医疗保障部门提供相关材料备案，被发现重大信息发生变更,经医保经办机构责令整改，但未在规定时间内办理重大信息变更的。</w:t>
            </w:r>
          </w:p>
        </w:tc>
      </w:tr>
      <w:tr w14:paraId="57D2B58B">
        <w:tblPrEx>
          <w:tblCellMar>
            <w:top w:w="0" w:type="dxa"/>
            <w:left w:w="108" w:type="dxa"/>
            <w:bottom w:w="0" w:type="dxa"/>
            <w:right w:w="108" w:type="dxa"/>
          </w:tblCellMar>
        </w:tblPrEx>
        <w:trPr>
          <w:trHeight w:val="540" w:hRule="atLeast"/>
          <w:jc w:val="center"/>
        </w:trPr>
        <w:tc>
          <w:tcPr>
            <w:tcW w:w="282" w:type="pct"/>
            <w:vMerge w:val="continue"/>
            <w:tcBorders>
              <w:left w:val="single" w:color="auto" w:sz="4" w:space="0"/>
              <w:bottom w:val="single" w:color="auto" w:sz="4" w:space="0"/>
              <w:right w:val="single" w:color="auto" w:sz="4" w:space="0"/>
            </w:tcBorders>
            <w:noWrap w:val="0"/>
            <w:vAlign w:val="top"/>
          </w:tcPr>
          <w:p w14:paraId="60540D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p>
        </w:tc>
        <w:tc>
          <w:tcPr>
            <w:tcW w:w="277" w:type="pct"/>
            <w:tcBorders>
              <w:top w:val="single" w:color="auto" w:sz="4" w:space="0"/>
              <w:left w:val="single" w:color="auto" w:sz="4" w:space="0"/>
              <w:bottom w:val="single" w:color="auto" w:sz="4" w:space="0"/>
              <w:right w:val="single" w:color="auto" w:sz="4" w:space="0"/>
            </w:tcBorders>
            <w:noWrap w:val="0"/>
            <w:vAlign w:val="center"/>
          </w:tcPr>
          <w:p w14:paraId="51A6DB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行为规范</w:t>
            </w:r>
          </w:p>
        </w:tc>
        <w:tc>
          <w:tcPr>
            <w:tcW w:w="284" w:type="pct"/>
            <w:tcBorders>
              <w:top w:val="single" w:color="auto" w:sz="4" w:space="0"/>
              <w:left w:val="single" w:color="auto" w:sz="4" w:space="0"/>
              <w:bottom w:val="single" w:color="auto" w:sz="4" w:space="0"/>
              <w:right w:val="single" w:color="auto" w:sz="4" w:space="0"/>
            </w:tcBorders>
            <w:noWrap w:val="0"/>
            <w:vAlign w:val="center"/>
          </w:tcPr>
          <w:p w14:paraId="0A433A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仿宋_GB2312" w:cs="Times New Roman"/>
                <w:color w:val="000000"/>
                <w:kern w:val="0"/>
                <w:sz w:val="22"/>
                <w:highlight w:val="none"/>
                <w:lang w:bidi="ar"/>
              </w:rPr>
            </w:pPr>
            <w:r>
              <w:rPr>
                <w:rFonts w:hint="eastAsia" w:ascii="Times New Roman" w:hAnsi="Times New Roman" w:eastAsia="仿宋_GB2312" w:cs="Times New Roman"/>
                <w:color w:val="000000"/>
                <w:kern w:val="0"/>
                <w:sz w:val="22"/>
                <w:highlight w:val="none"/>
                <w:lang w:bidi="ar"/>
              </w:rPr>
              <w:t>64</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6C5238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工作配合</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B8051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定性</w:t>
            </w:r>
          </w:p>
        </w:tc>
        <w:tc>
          <w:tcPr>
            <w:tcW w:w="3244" w:type="pct"/>
            <w:tcBorders>
              <w:top w:val="single" w:color="auto" w:sz="4" w:space="0"/>
              <w:left w:val="single" w:color="auto" w:sz="4" w:space="0"/>
              <w:bottom w:val="single" w:color="auto" w:sz="4" w:space="0"/>
              <w:right w:val="single" w:color="auto" w:sz="4" w:space="0"/>
            </w:tcBorders>
            <w:noWrap w:val="0"/>
            <w:vAlign w:val="center"/>
          </w:tcPr>
          <w:p w14:paraId="7C76E05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_GB2312" w:hAnsi="仿宋_GB2312" w:eastAsia="仿宋_GB2312" w:cs="仿宋_GB2312"/>
                <w:color w:val="000000"/>
                <w:kern w:val="0"/>
                <w:sz w:val="22"/>
                <w:highlight w:val="none"/>
                <w:lang w:bidi="ar"/>
              </w:rPr>
            </w:pPr>
            <w:r>
              <w:rPr>
                <w:rFonts w:hint="eastAsia" w:ascii="仿宋_GB2312" w:hAnsi="仿宋_GB2312" w:eastAsia="仿宋_GB2312" w:cs="仿宋_GB2312"/>
                <w:color w:val="000000"/>
                <w:kern w:val="0"/>
                <w:sz w:val="22"/>
                <w:highlight w:val="none"/>
                <w:lang w:bidi="ar"/>
              </w:rPr>
              <w:t>不配合医疗保障部门开展智能监控审核稽核、履约</w:t>
            </w:r>
            <w:r>
              <w:rPr>
                <w:rFonts w:hint="eastAsia" w:ascii="仿宋_GB2312" w:hAnsi="仿宋_GB2312" w:eastAsia="仿宋_GB2312" w:cs="仿宋_GB2312"/>
                <w:color w:val="000000"/>
                <w:kern w:val="0"/>
                <w:sz w:val="22"/>
                <w:highlight w:val="none"/>
                <w:lang w:eastAsia="zh-CN" w:bidi="ar"/>
              </w:rPr>
              <w:t>评价</w:t>
            </w:r>
            <w:r>
              <w:rPr>
                <w:rFonts w:hint="eastAsia" w:ascii="仿宋_GB2312" w:hAnsi="仿宋_GB2312" w:eastAsia="仿宋_GB2312" w:cs="仿宋_GB2312"/>
                <w:color w:val="000000"/>
                <w:kern w:val="0"/>
                <w:sz w:val="22"/>
                <w:highlight w:val="none"/>
                <w:lang w:bidi="ar"/>
              </w:rPr>
              <w:t>、监督检查等，情节恶劣的。</w:t>
            </w:r>
          </w:p>
        </w:tc>
      </w:tr>
    </w:tbl>
    <w:p w14:paraId="2086600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84959"/>
    <w:rsid w:val="1A38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2025-07-22T02:43:00Z</dcterms:created>
  <dc:creator>行之</dc:creator>
  <cp:lastModifiedBy>行之</cp:lastModifiedBy>
  <dcterms:modified xsi:type="dcterms:W3CDTF">2025-07-22T02:44:21Z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809D3EDC42794B51B6C5A2FAEECC8FA4_11</vt:lpwstr>
  </property>
  <property fmtid="{D5CDD505-2E9C-101B-9397-08002B2CF9AE}" pid="4" name="KSOTemplateDocerSaveRecord">
    <vt:lpwstr>eyJoZGlkIjoiNWJjZjNjMDM0ODljMmEwZjJmN2NlYjQ5OTBjMjFjNzIiLCJ1c2VySWQiOiIzNTA3MzY2MTIifQ==</vt:lpwstr>
  </property>
</Properties>
</file>