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494C4">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简体" w:cs="方正小标宋简体"/>
          <w:caps w:val="0"/>
          <w:sz w:val="44"/>
          <w:szCs w:val="44"/>
          <w:lang w:eastAsia="zh-CN"/>
        </w:rPr>
      </w:pPr>
      <w:bookmarkStart w:id="0" w:name="_GoBack"/>
      <w:r>
        <w:rPr>
          <w:rFonts w:hint="eastAsia" w:ascii="Times New Roman" w:hAnsi="Times New Roman" w:eastAsia="方正小标宋简体" w:cs="方正小标宋简体"/>
          <w:caps w:val="0"/>
          <w:sz w:val="44"/>
          <w:szCs w:val="44"/>
          <w:lang w:eastAsia="zh-CN"/>
        </w:rPr>
        <w:t>山东省定点医药机构相关人员医保支付</w:t>
      </w:r>
    </w:p>
    <w:p w14:paraId="429F8846">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简体" w:cs="方正小标宋简体"/>
          <w:caps w:val="0"/>
          <w:sz w:val="44"/>
          <w:szCs w:val="44"/>
          <w:lang w:eastAsia="zh-CN"/>
        </w:rPr>
      </w:pPr>
      <w:r>
        <w:rPr>
          <w:rFonts w:hint="eastAsia" w:ascii="Times New Roman" w:hAnsi="Times New Roman" w:eastAsia="方正小标宋简体" w:cs="方正小标宋简体"/>
          <w:caps w:val="0"/>
          <w:sz w:val="44"/>
          <w:szCs w:val="44"/>
          <w:lang w:eastAsia="zh-CN"/>
        </w:rPr>
        <w:t>资格管理经办规程（试行）</w:t>
      </w:r>
    </w:p>
    <w:bookmarkEnd w:id="0"/>
    <w:p w14:paraId="46FA1D9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Times New Roman" w:hAnsi="Times New Roman" w:eastAsia="黑体" w:cs="黑体"/>
          <w:caps w:val="0"/>
          <w:kern w:val="2"/>
          <w:sz w:val="32"/>
          <w:szCs w:val="32"/>
          <w:lang w:val="en-US" w:eastAsia="zh-CN" w:bidi="ar-SA"/>
        </w:rPr>
      </w:pPr>
    </w:p>
    <w:p w14:paraId="09A1E9A8">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jc w:val="center"/>
        <w:textAlignment w:val="auto"/>
        <w:rPr>
          <w:rFonts w:hint="eastAsia" w:ascii="Times New Roman" w:hAnsi="Times New Roman" w:eastAsia="黑体" w:cs="黑体"/>
          <w:caps w:val="0"/>
          <w:sz w:val="32"/>
          <w:szCs w:val="32"/>
          <w:lang w:val="en-US" w:eastAsia="zh-CN"/>
        </w:rPr>
      </w:pPr>
      <w:r>
        <w:rPr>
          <w:rFonts w:hint="eastAsia" w:ascii="Times New Roman" w:hAnsi="Times New Roman" w:eastAsia="黑体" w:cs="黑体"/>
          <w:caps w:val="0"/>
          <w:kern w:val="2"/>
          <w:sz w:val="32"/>
          <w:szCs w:val="32"/>
          <w:lang w:val="en-US" w:eastAsia="zh-CN" w:bidi="ar-SA"/>
        </w:rPr>
        <w:t xml:space="preserve">第一章  </w:t>
      </w:r>
      <w:r>
        <w:rPr>
          <w:rFonts w:hint="eastAsia" w:ascii="Times New Roman" w:hAnsi="Times New Roman" w:eastAsia="黑体" w:cs="黑体"/>
          <w:caps w:val="0"/>
          <w:sz w:val="32"/>
          <w:szCs w:val="32"/>
          <w:lang w:val="en-US" w:eastAsia="zh-CN"/>
        </w:rPr>
        <w:t>总  则</w:t>
      </w:r>
    </w:p>
    <w:p w14:paraId="2E9A2682">
      <w:pPr>
        <w:pStyle w:val="5"/>
        <w:keepNext w:val="0"/>
        <w:keepLines w:val="0"/>
        <w:pageBreakBefore w:val="0"/>
        <w:widowControl w:val="0"/>
        <w:kinsoku/>
        <w:wordWrap/>
        <w:overflowPunct/>
        <w:topLinePunct w:val="0"/>
        <w:autoSpaceDE/>
        <w:autoSpaceDN/>
        <w:bidi w:val="0"/>
        <w:adjustRightInd/>
        <w:snapToGrid/>
        <w:spacing w:before="0" w:after="0" w:line="570" w:lineRule="exact"/>
        <w:textAlignment w:val="auto"/>
        <w:rPr>
          <w:rFonts w:hint="eastAsia"/>
          <w:lang w:val="en-US" w:eastAsia="zh-CN"/>
        </w:rPr>
      </w:pPr>
    </w:p>
    <w:p w14:paraId="0B94605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黑体" w:cs="黑体"/>
          <w:caps w:val="0"/>
          <w:sz w:val="32"/>
          <w:szCs w:val="32"/>
          <w:lang w:val="en-US" w:eastAsia="zh-CN"/>
        </w:rPr>
        <w:t>第一条</w:t>
      </w:r>
      <w:r>
        <w:rPr>
          <w:rFonts w:hint="eastAsia" w:ascii="Times New Roman" w:hAnsi="Times New Roman" w:eastAsia="仿宋_GB2312" w:cs="仿宋_GB2312"/>
          <w:caps w:val="0"/>
          <w:sz w:val="32"/>
          <w:szCs w:val="32"/>
          <w:lang w:val="en-US" w:eastAsia="zh-CN"/>
        </w:rPr>
        <w:t xml:space="preserve">  </w:t>
      </w:r>
      <w:r>
        <w:rPr>
          <w:rFonts w:hint="eastAsia" w:ascii="Times New Roman" w:hAnsi="Times New Roman" w:eastAsia="仿宋_GB2312" w:cs="仿宋_GB2312"/>
          <w:caps w:val="0"/>
          <w:color w:val="auto"/>
          <w:sz w:val="32"/>
          <w:szCs w:val="32"/>
          <w:lang w:val="en-US" w:eastAsia="zh-CN"/>
        </w:rPr>
        <w:t>为进一步做好医疗保障定点医药机构相关人员医保支付资格管理工作，促进医疗保障基金合理使用，维护医疗保障基金安全，根据《社会保险经办条例》《医疗保障基金使用监督管理条例》《国家医疗保障局办公室关于印发〈医疗保障定点医药机构相关人员医保支付资格管理经办规程（试行）〉的通知》</w:t>
      </w:r>
      <w:r>
        <w:rPr>
          <w:rFonts w:hint="eastAsia" w:ascii="Times New Roman" w:hAnsi="Times New Roman" w:eastAsia="仿宋_GB2312" w:cs="仿宋_GB2312"/>
          <w:caps w:val="0"/>
          <w:color w:val="auto"/>
          <w:spacing w:val="-6"/>
          <w:sz w:val="32"/>
          <w:szCs w:val="32"/>
          <w:lang w:val="en-US" w:eastAsia="zh-CN"/>
        </w:rPr>
        <w:t>（以下简称“国家经办规程”）和《山东省医疗保障局 山东省卫生健康委员会 山东省药品监督管理局关于印发山东省定点医药机构相关人员医保支付资格管理实施细则（试行）的通知》（以下简称“山东省实施细则”）等法律法规、政策文件，制定本规程。</w:t>
      </w:r>
    </w:p>
    <w:p w14:paraId="7C9415F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z w:val="32"/>
          <w:szCs w:val="32"/>
          <w:lang w:val="en-US" w:eastAsia="zh-CN"/>
        </w:rPr>
        <w:t>第二条</w:t>
      </w:r>
      <w:r>
        <w:rPr>
          <w:rFonts w:hint="eastAsia" w:ascii="Times New Roman" w:hAnsi="Times New Roman" w:eastAsia="仿宋_GB2312" w:cs="仿宋_GB2312"/>
          <w:caps w:val="0"/>
          <w:sz w:val="32"/>
          <w:szCs w:val="32"/>
          <w:lang w:val="en-US" w:eastAsia="zh-CN"/>
        </w:rPr>
        <w:t xml:space="preserve">  本经办规程</w:t>
      </w:r>
      <w:r>
        <w:rPr>
          <w:rFonts w:hint="eastAsia" w:ascii="Times New Roman" w:hAnsi="Times New Roman" w:eastAsia="仿宋_GB2312" w:cs="仿宋_GB2312"/>
          <w:caps w:val="0"/>
          <w:strike w:val="0"/>
          <w:dstrike w:val="0"/>
          <w:sz w:val="32"/>
          <w:szCs w:val="32"/>
          <w:lang w:val="en-US" w:eastAsia="zh-CN"/>
        </w:rPr>
        <w:t>适用于医疗保障经办机构对医疗保障定点医药机构涉及医疗保障基金使</w:t>
      </w:r>
      <w:r>
        <w:rPr>
          <w:rFonts w:hint="eastAsia" w:ascii="Times New Roman" w:hAnsi="Times New Roman" w:eastAsia="仿宋_GB2312" w:cs="仿宋_GB2312"/>
          <w:caps w:val="0"/>
          <w:strike w:val="0"/>
          <w:dstrike w:val="0"/>
          <w:sz w:val="32"/>
          <w:szCs w:val="32"/>
          <w:highlight w:val="none"/>
          <w:lang w:val="en-US" w:eastAsia="zh-CN"/>
        </w:rPr>
        <w:t>用及管理的相</w:t>
      </w:r>
      <w:r>
        <w:rPr>
          <w:rFonts w:hint="eastAsia" w:ascii="Times New Roman" w:hAnsi="Times New Roman" w:eastAsia="仿宋_GB2312" w:cs="仿宋_GB2312"/>
          <w:caps w:val="0"/>
          <w:strike w:val="0"/>
          <w:dstrike w:val="0"/>
          <w:sz w:val="32"/>
          <w:szCs w:val="32"/>
          <w:lang w:val="en-US" w:eastAsia="zh-CN"/>
        </w:rPr>
        <w:t>关人员（以下简称相关人员）的医保支付资格管理工作。</w:t>
      </w:r>
    </w:p>
    <w:p w14:paraId="66FC4AC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第三条</w:t>
      </w:r>
      <w:r>
        <w:rPr>
          <w:rFonts w:hint="eastAsia" w:ascii="Times New Roman" w:hAnsi="Times New Roman" w:eastAsia="仿宋_GB2312" w:cs="仿宋_GB2312"/>
          <w:caps w:val="0"/>
          <w:strike w:val="0"/>
          <w:dstrike w:val="0"/>
          <w:sz w:val="32"/>
          <w:szCs w:val="32"/>
          <w:lang w:val="en-US" w:eastAsia="zh-CN"/>
        </w:rPr>
        <w:t xml:space="preserve">  坚持规范统一，确保客观公正；坚持正向引导，激励约束并重；坚持权责清晰，记分有据可依；坚持数智赋能，促进管理精细化；坚持协商共治，提升治理效能。</w:t>
      </w:r>
    </w:p>
    <w:p w14:paraId="154C664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第四条</w:t>
      </w:r>
      <w:r>
        <w:rPr>
          <w:rFonts w:hint="eastAsia" w:ascii="Times New Roman" w:hAnsi="Times New Roman" w:eastAsia="仿宋_GB2312" w:cs="仿宋_GB2312"/>
          <w:caps w:val="0"/>
          <w:strike w:val="0"/>
          <w:dstrike w:val="0"/>
          <w:sz w:val="32"/>
          <w:szCs w:val="32"/>
          <w:lang w:val="en-US" w:eastAsia="zh-CN"/>
        </w:rPr>
        <w:t xml:space="preserve">  省级医疗保障经办机构在国家经办规程基础上，结合山东省实施细则，指导统筹地区医疗保障经办机构开展相关人员医保支付资格管理经办工作，配合做好本省“一医一档”、结算清算等信息化功能建设。</w:t>
      </w:r>
    </w:p>
    <w:p w14:paraId="3137E6B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color w:val="auto"/>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各统筹地区医疗保障经办机构负责辖区内相关人员医保支付资格管理具体实施工作，</w:t>
      </w:r>
      <w:r>
        <w:rPr>
          <w:rFonts w:hint="eastAsia" w:ascii="Times New Roman" w:hAnsi="Times New Roman" w:eastAsia="仿宋_GB2312" w:cs="仿宋_GB2312"/>
          <w:caps w:val="0"/>
          <w:strike w:val="0"/>
          <w:dstrike w:val="0"/>
          <w:color w:val="auto"/>
          <w:sz w:val="32"/>
          <w:szCs w:val="32"/>
          <w:lang w:val="en-US" w:eastAsia="zh-CN"/>
        </w:rPr>
        <w:t>完善工作流程，</w:t>
      </w:r>
      <w:r>
        <w:rPr>
          <w:rFonts w:hint="eastAsia" w:ascii="Times New Roman" w:hAnsi="Times New Roman" w:eastAsia="仿宋_GB2312" w:cs="仿宋_GB2312"/>
          <w:caps w:val="0"/>
          <w:strike w:val="0"/>
          <w:dstrike w:val="0"/>
          <w:color w:val="auto"/>
          <w:sz w:val="32"/>
          <w:szCs w:val="32"/>
          <w:highlight w:val="none"/>
          <w:lang w:val="en-US" w:eastAsia="zh-CN"/>
        </w:rPr>
        <w:t>将相关人员医保支付资格管理情况纳入服务协议管理，</w:t>
      </w:r>
      <w:r>
        <w:rPr>
          <w:rFonts w:hint="eastAsia" w:ascii="Times New Roman" w:hAnsi="Times New Roman" w:eastAsia="仿宋_GB2312" w:cs="仿宋_GB2312"/>
          <w:caps w:val="0"/>
          <w:strike w:val="0"/>
          <w:dstrike w:val="0"/>
          <w:color w:val="auto"/>
          <w:sz w:val="32"/>
          <w:szCs w:val="32"/>
          <w:lang w:val="en-US" w:eastAsia="zh-CN"/>
        </w:rPr>
        <w:t>负责记分并强化记分结果应用。</w:t>
      </w:r>
    </w:p>
    <w:p w14:paraId="07125A3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对违法或者违反服务协议、违背服务承诺的定点医药机构的相关人</w:t>
      </w:r>
      <w:r>
        <w:rPr>
          <w:rFonts w:hint="eastAsia" w:ascii="Times New Roman" w:hAnsi="Times New Roman" w:eastAsia="仿宋_GB2312" w:cs="仿宋_GB2312"/>
          <w:caps w:val="0"/>
          <w:strike w:val="0"/>
          <w:dstrike w:val="0"/>
          <w:color w:val="auto"/>
          <w:sz w:val="32"/>
          <w:szCs w:val="32"/>
          <w:lang w:val="en-US" w:eastAsia="zh-CN"/>
        </w:rPr>
        <w:t>员，各统筹地区医疗保障经办机构应当根</w:t>
      </w:r>
      <w:r>
        <w:rPr>
          <w:rFonts w:hint="eastAsia" w:ascii="Times New Roman" w:hAnsi="Times New Roman" w:eastAsia="仿宋_GB2312" w:cs="仿宋_GB2312"/>
          <w:caps w:val="0"/>
          <w:strike w:val="0"/>
          <w:dstrike w:val="0"/>
          <w:sz w:val="32"/>
          <w:szCs w:val="32"/>
          <w:lang w:val="en-US" w:eastAsia="zh-CN"/>
        </w:rPr>
        <w:t>据行为性质和负有责任程度</w:t>
      </w:r>
      <w:r>
        <w:rPr>
          <w:rFonts w:hint="eastAsia" w:ascii="Times New Roman" w:hAnsi="Times New Roman" w:eastAsia="仿宋_GB2312" w:cs="仿宋_GB2312"/>
          <w:caps w:val="0"/>
          <w:strike w:val="0"/>
          <w:dstrike w:val="0"/>
          <w:sz w:val="32"/>
          <w:szCs w:val="32"/>
          <w:highlight w:val="none"/>
          <w:lang w:val="en-US" w:eastAsia="zh-CN"/>
        </w:rPr>
        <w:t>等对相关责任人员进行记分；当年内记分累计达到一定分值后，暂停或终止相关责任人员支付资格和医保费用结算，对负责医疗费用和医保结算审核的相关工作人员暂停或终止其从事医疗费用和医保结算审核工作。及时向</w:t>
      </w:r>
      <w:r>
        <w:rPr>
          <w:rFonts w:hint="eastAsia" w:ascii="Times New Roman" w:hAnsi="Times New Roman" w:eastAsia="仿宋_GB2312" w:cs="仿宋_GB2312"/>
          <w:caps w:val="0"/>
          <w:strike w:val="0"/>
          <w:dstrike w:val="0"/>
          <w:sz w:val="32"/>
          <w:szCs w:val="32"/>
          <w:lang w:val="en-US" w:eastAsia="zh-CN"/>
        </w:rPr>
        <w:t>本级医疗保障行政部门报送定点医药机构相关人员的记分与处理情况。</w:t>
      </w:r>
    </w:p>
    <w:p w14:paraId="4DCCBB1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_GB2312" w:cs="仿宋_GB2312"/>
          <w:b/>
          <w:bCs/>
          <w:caps w:val="0"/>
          <w:strike w:val="0"/>
          <w:dstrike w:val="0"/>
          <w:color w:val="00B050"/>
          <w:sz w:val="32"/>
          <w:szCs w:val="32"/>
          <w:u w:val="single"/>
          <w:lang w:val="en-US" w:eastAsia="zh-CN"/>
        </w:rPr>
      </w:pPr>
      <w:r>
        <w:rPr>
          <w:rFonts w:hint="eastAsia" w:ascii="Times New Roman" w:hAnsi="Times New Roman" w:eastAsia="黑体" w:cs="黑体"/>
          <w:caps w:val="0"/>
          <w:strike w:val="0"/>
          <w:dstrike w:val="0"/>
          <w:kern w:val="2"/>
          <w:sz w:val="32"/>
          <w:szCs w:val="32"/>
          <w:lang w:val="en-US" w:eastAsia="zh-CN" w:bidi="ar-SA"/>
        </w:rPr>
        <w:t>第五条</w:t>
      </w:r>
      <w:r>
        <w:rPr>
          <w:rFonts w:hint="eastAsia" w:ascii="Times New Roman" w:hAnsi="Times New Roman" w:eastAsia="仿宋_GB2312" w:cs="仿宋_GB2312"/>
          <w:caps w:val="0"/>
          <w:strike w:val="0"/>
          <w:dstrike w:val="0"/>
          <w:kern w:val="2"/>
          <w:sz w:val="32"/>
          <w:szCs w:val="32"/>
          <w:lang w:val="en-US" w:eastAsia="zh-CN" w:bidi="ar-SA"/>
        </w:rPr>
        <w:t xml:space="preserve">  </w:t>
      </w:r>
      <w:r>
        <w:rPr>
          <w:rFonts w:hint="eastAsia" w:ascii="Times New Roman" w:hAnsi="Times New Roman" w:eastAsia="仿宋_GB2312" w:cs="仿宋_GB2312"/>
          <w:caps w:val="0"/>
          <w:strike w:val="0"/>
          <w:dstrike w:val="0"/>
          <w:sz w:val="32"/>
          <w:szCs w:val="32"/>
          <w:lang w:val="en-US" w:eastAsia="zh-CN"/>
        </w:rPr>
        <w:t>定点医药机构负责落实本机构相关人员管理的主体责</w:t>
      </w:r>
      <w:r>
        <w:rPr>
          <w:rFonts w:hint="eastAsia" w:ascii="Times New Roman" w:hAnsi="Times New Roman" w:eastAsia="仿宋_GB2312" w:cs="仿宋_GB2312"/>
          <w:caps w:val="0"/>
          <w:strike w:val="0"/>
          <w:dstrike w:val="0"/>
          <w:color w:val="auto"/>
          <w:sz w:val="32"/>
          <w:szCs w:val="32"/>
          <w:lang w:val="en-US" w:eastAsia="zh-CN"/>
        </w:rPr>
        <w:t>任，</w:t>
      </w:r>
      <w:r>
        <w:rPr>
          <w:rFonts w:hint="eastAsia" w:ascii="Times New Roman" w:hAnsi="Times New Roman" w:eastAsia="仿宋_GB2312" w:cs="仿宋_GB2312"/>
          <w:b w:val="0"/>
          <w:bCs w:val="0"/>
          <w:caps w:val="0"/>
          <w:strike w:val="0"/>
          <w:dstrike w:val="0"/>
          <w:color w:val="auto"/>
          <w:sz w:val="32"/>
          <w:szCs w:val="32"/>
          <w:lang w:val="en-US" w:eastAsia="zh-CN"/>
        </w:rPr>
        <w:t>建立医疗保障基金使用内部管理制度，明确相关责任部门（科室）及相关人员的工作职责；开展医疗保障相关法律法规和政策规定的学习培训，督促指导相关人员遵守法律法规和服务协议；组织相关人员通过签署承诺书等形式作出服务承诺，确保相关人员知晓并遵守服务承诺；对本机构相关人员进行登记备案及登记备案状态维护，申报由登记备案状态正常的相关人员为参保人提供医药服务所产生的医保费用；</w:t>
      </w:r>
      <w:r>
        <w:rPr>
          <w:rFonts w:hint="eastAsia" w:ascii="Times New Roman" w:hAnsi="Times New Roman" w:eastAsia="仿宋_GB2312" w:cs="仿宋_GB2312"/>
          <w:caps w:val="0"/>
          <w:strike w:val="0"/>
          <w:dstrike w:val="0"/>
          <w:color w:val="auto"/>
          <w:sz w:val="32"/>
          <w:szCs w:val="32"/>
          <w:highlight w:val="none"/>
          <w:lang w:val="en-US" w:eastAsia="zh-CN"/>
        </w:rPr>
        <w:t>可</w:t>
      </w:r>
      <w:r>
        <w:rPr>
          <w:rFonts w:hint="eastAsia" w:ascii="Times New Roman" w:hAnsi="Times New Roman" w:eastAsia="仿宋_GB2312" w:cs="仿宋_GB2312"/>
          <w:caps w:val="0"/>
          <w:strike w:val="0"/>
          <w:dstrike w:val="0"/>
          <w:color w:val="auto"/>
          <w:sz w:val="32"/>
          <w:szCs w:val="32"/>
          <w:lang w:val="en-US" w:eastAsia="zh-CN"/>
        </w:rPr>
        <w:t>将</w:t>
      </w:r>
      <w:r>
        <w:rPr>
          <w:rFonts w:hint="eastAsia" w:ascii="Times New Roman" w:hAnsi="Times New Roman" w:eastAsia="仿宋_GB2312" w:cs="仿宋_GB2312"/>
          <w:caps w:val="0"/>
          <w:strike w:val="0"/>
          <w:dstrike w:val="0"/>
          <w:sz w:val="32"/>
          <w:szCs w:val="32"/>
          <w:lang w:val="en-US" w:eastAsia="zh-CN"/>
        </w:rPr>
        <w:t>相关人员医保支付资格管理与年度考核、内部通报等激励约束管理制度挂钩。用好医保支付资格管理工具和记分结果。</w:t>
      </w:r>
    </w:p>
    <w:p w14:paraId="404CAD2C">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第二章  协议管理</w:t>
      </w:r>
    </w:p>
    <w:p w14:paraId="5B8BF8E0">
      <w:pPr>
        <w:pStyle w:val="5"/>
        <w:keepNext w:val="0"/>
        <w:keepLines w:val="0"/>
        <w:pageBreakBefore w:val="0"/>
        <w:widowControl w:val="0"/>
        <w:kinsoku/>
        <w:wordWrap/>
        <w:overflowPunct/>
        <w:topLinePunct w:val="0"/>
        <w:autoSpaceDE/>
        <w:autoSpaceDN/>
        <w:bidi w:val="0"/>
        <w:adjustRightInd/>
        <w:snapToGrid/>
        <w:spacing w:before="0" w:after="0" w:line="570" w:lineRule="exact"/>
        <w:textAlignment w:val="auto"/>
        <w:rPr>
          <w:rFonts w:hint="eastAsia"/>
          <w:lang w:val="en-US" w:eastAsia="zh-CN"/>
        </w:rPr>
      </w:pPr>
    </w:p>
    <w:p w14:paraId="13215CE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b w:val="0"/>
          <w:bCs w:val="0"/>
          <w:caps w:val="0"/>
          <w:strike w:val="0"/>
          <w:dstrike w:val="0"/>
          <w:color w:val="auto"/>
          <w:sz w:val="32"/>
          <w:szCs w:val="32"/>
          <w:u w:val="none"/>
          <w:lang w:val="en-US" w:eastAsia="zh-CN"/>
        </w:rPr>
      </w:pPr>
      <w:r>
        <w:rPr>
          <w:rFonts w:hint="eastAsia" w:ascii="Times New Roman" w:hAnsi="Times New Roman" w:eastAsia="黑体" w:cs="黑体"/>
          <w:caps w:val="0"/>
          <w:strike w:val="0"/>
          <w:dstrike w:val="0"/>
          <w:sz w:val="32"/>
          <w:szCs w:val="32"/>
          <w:lang w:val="en-US" w:eastAsia="zh-CN"/>
        </w:rPr>
        <w:t>第六条</w:t>
      </w:r>
      <w:r>
        <w:rPr>
          <w:rFonts w:hint="eastAsia" w:ascii="Times New Roman" w:hAnsi="Times New Roman" w:eastAsia="仿宋_GB2312" w:cs="仿宋_GB2312"/>
          <w:caps w:val="0"/>
          <w:strike w:val="0"/>
          <w:dstrike w:val="0"/>
          <w:sz w:val="32"/>
          <w:szCs w:val="32"/>
          <w:lang w:val="en-US" w:eastAsia="zh-CN"/>
        </w:rPr>
        <w:t xml:space="preserve">  医疗保障经办机构按规定与医药机构签订医疗保障服务</w:t>
      </w:r>
      <w:r>
        <w:rPr>
          <w:rFonts w:hint="eastAsia" w:ascii="Times New Roman" w:hAnsi="Times New Roman" w:eastAsia="仿宋_GB2312" w:cs="仿宋_GB2312"/>
          <w:caps w:val="0"/>
          <w:strike w:val="0"/>
          <w:dstrike w:val="0"/>
          <w:color w:val="auto"/>
          <w:sz w:val="32"/>
          <w:szCs w:val="32"/>
          <w:lang w:val="en-US" w:eastAsia="zh-CN"/>
        </w:rPr>
        <w:t>协议，</w:t>
      </w:r>
      <w:r>
        <w:rPr>
          <w:rFonts w:hint="eastAsia" w:ascii="Times New Roman" w:hAnsi="Times New Roman" w:eastAsia="仿宋_GB2312" w:cs="仿宋_GB2312"/>
          <w:b w:val="0"/>
          <w:bCs w:val="0"/>
          <w:caps w:val="0"/>
          <w:strike w:val="0"/>
          <w:dstrike w:val="0"/>
          <w:color w:val="auto"/>
          <w:sz w:val="32"/>
          <w:szCs w:val="32"/>
          <w:u w:val="none"/>
          <w:lang w:val="en-US" w:eastAsia="zh-CN"/>
        </w:rPr>
        <w:t>明确应当要求定点医药机构支付违约金的具体情形和比例，将登记备案、服务承诺、记分管理、状态维护、医保结算、信息化建设等医保支付资格管理情况纳入医疗保障服务协议，加强对定点医药机构的协议管理，做好</w:t>
      </w:r>
      <w:r>
        <w:rPr>
          <w:rFonts w:hint="eastAsia" w:ascii="Times New Roman" w:hAnsi="Times New Roman" w:eastAsia="仿宋_GB2312" w:cs="仿宋_GB2312"/>
          <w:b w:val="0"/>
          <w:bCs w:val="0"/>
          <w:caps w:val="0"/>
          <w:strike w:val="0"/>
          <w:dstrike w:val="0"/>
          <w:color w:val="auto"/>
          <w:sz w:val="32"/>
          <w:szCs w:val="32"/>
          <w:highlight w:val="none"/>
          <w:u w:val="none"/>
          <w:lang w:val="en-US" w:eastAsia="zh-CN"/>
        </w:rPr>
        <w:t>记分管理、信息核查等工作，加强医保基金审核结算管理，将相关人员医保支付资格管理情况纳入考核，合理设置考核指标，考核结果与服务质量保证金、预付金、协议续签等挂钩，</w:t>
      </w:r>
      <w:r>
        <w:rPr>
          <w:rFonts w:hint="eastAsia" w:ascii="Times New Roman" w:hAnsi="Times New Roman" w:eastAsia="仿宋_GB2312" w:cs="仿宋_GB2312"/>
          <w:b w:val="0"/>
          <w:bCs w:val="0"/>
          <w:caps w:val="0"/>
          <w:strike w:val="0"/>
          <w:dstrike w:val="0"/>
          <w:color w:val="auto"/>
          <w:sz w:val="32"/>
          <w:szCs w:val="32"/>
          <w:u w:val="none"/>
          <w:lang w:val="en-US" w:eastAsia="zh-CN"/>
        </w:rPr>
        <w:t>推动定点医药机构落实相关人员医保支付资格管理要求。</w:t>
      </w:r>
    </w:p>
    <w:p w14:paraId="30A3E4B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第七条  </w:t>
      </w:r>
      <w:r>
        <w:rPr>
          <w:rFonts w:hint="eastAsia" w:ascii="Times New Roman" w:hAnsi="Times New Roman" w:eastAsia="仿宋_GB2312" w:cs="仿宋_GB2312"/>
          <w:caps w:val="0"/>
          <w:strike w:val="0"/>
          <w:dstrike w:val="0"/>
          <w:sz w:val="32"/>
          <w:szCs w:val="32"/>
          <w:lang w:val="en-US" w:eastAsia="zh-CN"/>
        </w:rPr>
        <w:t>医疗保障经办机构与定点医药机构签订服务协议后，在定点医药机构执业（就业）的相关人员即可按规定获得医保支付资格，为参保人提供医药服务，并纳入医保监管范围。</w:t>
      </w:r>
    </w:p>
    <w:p w14:paraId="21013C8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第八条  </w:t>
      </w:r>
      <w:r>
        <w:rPr>
          <w:rFonts w:hint="eastAsia" w:ascii="Times New Roman" w:hAnsi="Times New Roman" w:eastAsia="仿宋_GB2312" w:cs="仿宋_GB2312"/>
          <w:caps w:val="0"/>
          <w:strike w:val="0"/>
          <w:dstrike w:val="0"/>
          <w:sz w:val="32"/>
          <w:szCs w:val="32"/>
          <w:lang w:val="en-US" w:eastAsia="zh-CN"/>
        </w:rPr>
        <w:t>各级医疗保障经办机构应当将定点医药机构相关人员医保支付资格管理情况纳入医药机构诚信管理体系。</w:t>
      </w:r>
    </w:p>
    <w:p w14:paraId="75509F96">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p>
    <w:p w14:paraId="55BDC8CE">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第三章  登记备案</w:t>
      </w:r>
    </w:p>
    <w:p w14:paraId="059D0FC4">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textAlignment w:val="auto"/>
        <w:rPr>
          <w:rFonts w:hint="eastAsia"/>
          <w:lang w:val="en-US" w:eastAsia="zh-CN"/>
        </w:rPr>
      </w:pPr>
    </w:p>
    <w:p w14:paraId="1432725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第九条  </w:t>
      </w:r>
      <w:r>
        <w:rPr>
          <w:rFonts w:hint="eastAsia" w:ascii="Times New Roman" w:hAnsi="Times New Roman" w:eastAsia="仿宋_GB2312" w:cs="仿宋_GB2312"/>
          <w:caps w:val="0"/>
          <w:strike w:val="0"/>
          <w:dstrike w:val="0"/>
          <w:sz w:val="32"/>
          <w:szCs w:val="32"/>
          <w:lang w:val="en-US" w:eastAsia="zh-CN"/>
        </w:rPr>
        <w:t>定点医药机构按规定为以下相关人员登记备案：</w:t>
      </w:r>
    </w:p>
    <w:p w14:paraId="1F23D29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（一）定点医疗机构。为参保人提供使用基金结算的医疗类、药学类、护理类、技术类等卫生专业技术人员，以及负责医疗费用和医保结算审核的相关工作人员。</w:t>
      </w:r>
    </w:p>
    <w:p w14:paraId="4925502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（二）定点零售药店。为参保人提供使用基金结算的医药服务的主要负责人，即药品经营许可证上的主要负责人。</w:t>
      </w:r>
    </w:p>
    <w:p w14:paraId="309C04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第十条  </w:t>
      </w:r>
      <w:r>
        <w:rPr>
          <w:rFonts w:hint="eastAsia" w:ascii="Times New Roman" w:hAnsi="Times New Roman" w:eastAsia="仿宋_GB2312" w:cs="仿宋_GB2312"/>
          <w:caps w:val="0"/>
          <w:strike w:val="0"/>
          <w:dstrike w:val="0"/>
          <w:sz w:val="32"/>
          <w:szCs w:val="32"/>
          <w:lang w:val="en-US" w:eastAsia="zh-CN"/>
        </w:rPr>
        <w:t>定点医药机构应按《登记备案及登记备案状态维护》</w:t>
      </w:r>
      <w:r>
        <w:rPr>
          <w:rFonts w:hint="eastAsia" w:ascii="Times New Roman" w:hAnsi="Times New Roman" w:eastAsia="仿宋_GB2312" w:cs="仿宋_GB2312"/>
          <w:caps w:val="0"/>
          <w:strike w:val="0"/>
          <w:dstrike w:val="0"/>
          <w:sz w:val="32"/>
          <w:szCs w:val="32"/>
          <w:highlight w:val="none"/>
          <w:lang w:val="en-US" w:eastAsia="zh-CN"/>
        </w:rPr>
        <w:t>（医保发〔2024〕23号文件附件）</w:t>
      </w:r>
      <w:r>
        <w:rPr>
          <w:rFonts w:hint="eastAsia" w:ascii="Times New Roman" w:hAnsi="Times New Roman" w:eastAsia="仿宋_GB2312" w:cs="仿宋_GB2312"/>
          <w:caps w:val="0"/>
          <w:strike w:val="0"/>
          <w:dstrike w:val="0"/>
          <w:sz w:val="32"/>
          <w:szCs w:val="32"/>
          <w:lang w:val="en-US" w:eastAsia="zh-CN"/>
        </w:rPr>
        <w:t>要求，完整准确及时为相关人员登记备案。各级医疗保障经办机构应指导定点医药机构做好登记备案相关工作。</w:t>
      </w:r>
    </w:p>
    <w:p w14:paraId="1901592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第十一条  </w:t>
      </w:r>
      <w:r>
        <w:rPr>
          <w:rFonts w:hint="eastAsia" w:ascii="Times New Roman" w:hAnsi="Times New Roman" w:eastAsia="仿宋_GB2312" w:cs="仿宋_GB2312"/>
          <w:caps w:val="0"/>
          <w:strike w:val="0"/>
          <w:dstrike w:val="0"/>
          <w:sz w:val="32"/>
          <w:szCs w:val="32"/>
          <w:lang w:val="en-US" w:eastAsia="zh-CN"/>
        </w:rPr>
        <w:t>定点医药机构通过国家医保信息业务编码标准数据库动态维护窗口，对已作出服务承诺的相关人员进行批量登记备案，取得国家医保相关人员代码。对定点医疗机构负责医疗费用和医保结算审核的相关工作人员、定点零售药店主要负责人，在相关编码采集标准发布前，可暂按身份证号进行信息采集。</w:t>
      </w:r>
    </w:p>
    <w:p w14:paraId="465618C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第十二条  </w:t>
      </w:r>
      <w:r>
        <w:rPr>
          <w:rFonts w:hint="eastAsia" w:ascii="Times New Roman" w:hAnsi="Times New Roman" w:eastAsia="仿宋_GB2312" w:cs="仿宋_GB2312"/>
          <w:caps w:val="0"/>
          <w:strike w:val="0"/>
          <w:dstrike w:val="0"/>
          <w:sz w:val="32"/>
          <w:szCs w:val="32"/>
          <w:lang w:val="en-US" w:eastAsia="zh-CN"/>
        </w:rPr>
        <w:t>经相关部门许可多点执业的医师，其执业所在定点医疗机构均应为其进行登记备案及状态维护，实现状态联动。</w:t>
      </w:r>
    </w:p>
    <w:p w14:paraId="474726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第十三条  </w:t>
      </w:r>
      <w:r>
        <w:rPr>
          <w:rFonts w:hint="eastAsia" w:ascii="Times New Roman" w:hAnsi="Times New Roman" w:eastAsia="仿宋_GB2312" w:cs="仿宋_GB2312"/>
          <w:caps w:val="0"/>
          <w:strike w:val="0"/>
          <w:dstrike w:val="0"/>
          <w:sz w:val="32"/>
          <w:szCs w:val="32"/>
          <w:lang w:val="en-US" w:eastAsia="zh-CN"/>
        </w:rPr>
        <w:t>登记备案内容包括：医保相关人员代码、姓名、身份证号、医药机构名称及代码、医保区划、执业类型、执业类别、执业范围、专业技术职务、登记备案状态、服务承诺等。</w:t>
      </w:r>
    </w:p>
    <w:p w14:paraId="69B9101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第十四条  </w:t>
      </w:r>
      <w:r>
        <w:rPr>
          <w:rFonts w:hint="eastAsia" w:ascii="Times New Roman" w:hAnsi="Times New Roman" w:eastAsia="仿宋_GB2312" w:cs="仿宋_GB2312"/>
          <w:caps w:val="0"/>
          <w:strike w:val="0"/>
          <w:dstrike w:val="0"/>
          <w:sz w:val="32"/>
          <w:szCs w:val="32"/>
          <w:lang w:val="en-US" w:eastAsia="zh-CN"/>
        </w:rPr>
        <w:t>登记备案状态包括：正常、暂停、终止。相关人员经首次登记备案，状态即为正常。</w:t>
      </w:r>
    </w:p>
    <w:p w14:paraId="75C358C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登记备案状态正常的相关人员可以正常开展涉及医保基金使用的医药服务、计费服务等，医疗保障经办机构按规定与相关人员所在定点医药机构开展医保费用结算。</w:t>
      </w:r>
    </w:p>
    <w:p w14:paraId="07508FA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登记备案状态为暂停或终止的相关责任人员，在暂停期或终止期内，除急诊、抢救等特殊情形除外，提供医药服务发生的医保费用，医保基金不予结算支付。</w:t>
      </w:r>
    </w:p>
    <w:p w14:paraId="7278929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登记备案状态暂停或终止的相关责任人员，不影响其按照《中华人民共和国医师法》《护士条例》《执业药师注册管理办法》等相关规定开展执业活动。定点医药机构应妥善做好工作交接，不得影响参保人员正常就医和医保费用结算。</w:t>
      </w:r>
    </w:p>
    <w:p w14:paraId="1FDA8DD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第十五条  </w:t>
      </w:r>
      <w:r>
        <w:rPr>
          <w:rFonts w:hint="eastAsia" w:ascii="Times New Roman" w:hAnsi="Times New Roman" w:eastAsia="仿宋_GB2312" w:cs="仿宋_GB2312"/>
          <w:caps w:val="0"/>
          <w:strike w:val="0"/>
          <w:dstrike w:val="0"/>
          <w:sz w:val="32"/>
          <w:szCs w:val="32"/>
          <w:lang w:val="en-US" w:eastAsia="zh-CN"/>
        </w:rPr>
        <w:t>相关人员执业（就业）机构发生变化的，定点医药机构按规定程序重新组织相关人员进行登记备案。</w:t>
      </w:r>
    </w:p>
    <w:p w14:paraId="5D75A65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第十六条  </w:t>
      </w:r>
      <w:r>
        <w:rPr>
          <w:rFonts w:hint="eastAsia" w:ascii="Times New Roman" w:hAnsi="Times New Roman" w:eastAsia="仿宋_GB2312" w:cs="仿宋_GB2312"/>
          <w:caps w:val="0"/>
          <w:strike w:val="0"/>
          <w:dstrike w:val="0"/>
          <w:sz w:val="32"/>
          <w:szCs w:val="32"/>
          <w:lang w:val="en-US" w:eastAsia="zh-CN"/>
        </w:rPr>
        <w:t>相关人员与所在定点医药机构因解除劳动合同或聘用合同、退休等未在定点医药机构执业（就业）或未在岗工作的，定点医药机构应当及时在动态维护窗口进行信息更新（取消登记备案）。</w:t>
      </w:r>
    </w:p>
    <w:p w14:paraId="08A9D337">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jc w:val="center"/>
        <w:textAlignment w:val="auto"/>
        <w:rPr>
          <w:rFonts w:hint="eastAsia" w:ascii="Times New Roman" w:hAnsi="Times New Roman" w:eastAsia="黑体" w:cs="黑体"/>
          <w:caps w:val="0"/>
          <w:kern w:val="2"/>
          <w:sz w:val="32"/>
          <w:szCs w:val="32"/>
          <w:lang w:val="en-US" w:eastAsia="zh-CN" w:bidi="ar-SA"/>
        </w:rPr>
      </w:pPr>
    </w:p>
    <w:p w14:paraId="2CEDEABC">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第四章  服务承诺</w:t>
      </w:r>
    </w:p>
    <w:p w14:paraId="34E458B6">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textAlignment w:val="auto"/>
        <w:rPr>
          <w:rFonts w:hint="eastAsia"/>
          <w:lang w:val="en-US" w:eastAsia="zh-CN"/>
        </w:rPr>
      </w:pPr>
    </w:p>
    <w:p w14:paraId="6299711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第十七条  </w:t>
      </w:r>
      <w:r>
        <w:rPr>
          <w:rFonts w:hint="eastAsia" w:ascii="Times New Roman" w:hAnsi="Times New Roman" w:eastAsia="仿宋_GB2312" w:cs="仿宋_GB2312"/>
          <w:caps w:val="0"/>
          <w:strike w:val="0"/>
          <w:dstrike w:val="0"/>
          <w:sz w:val="32"/>
          <w:szCs w:val="32"/>
          <w:lang w:val="en-US" w:eastAsia="zh-CN"/>
        </w:rPr>
        <w:t>医疗保障经办机构向定点医药机构提供相关人员履行服务承诺书文本，督促定点医药机构及时组织相关人员作出服务承诺。</w:t>
      </w:r>
    </w:p>
    <w:p w14:paraId="30E2939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第十八条  </w:t>
      </w:r>
      <w:r>
        <w:rPr>
          <w:rFonts w:hint="eastAsia" w:ascii="Times New Roman" w:hAnsi="Times New Roman" w:eastAsia="仿宋_GB2312" w:cs="仿宋_GB2312"/>
          <w:caps w:val="0"/>
          <w:strike w:val="0"/>
          <w:dstrike w:val="0"/>
          <w:sz w:val="32"/>
          <w:szCs w:val="32"/>
          <w:lang w:val="en-US" w:eastAsia="zh-CN"/>
        </w:rPr>
        <w:t>服务承诺应包括遵守法律法规和服务协议使用医保基金，提供合理、必要的医药服务，安全、高效、合规使用医保基金，严守诚信原则，不参与欺诈骗保等内容。</w:t>
      </w:r>
    </w:p>
    <w:p w14:paraId="66FF221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color w:val="0070C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第十九条  </w:t>
      </w:r>
      <w:r>
        <w:rPr>
          <w:rFonts w:hint="eastAsia" w:ascii="Times New Roman" w:hAnsi="Times New Roman" w:eastAsia="仿宋_GB2312" w:cs="仿宋_GB2312"/>
          <w:caps w:val="0"/>
          <w:strike w:val="0"/>
          <w:dstrike w:val="0"/>
          <w:sz w:val="32"/>
          <w:szCs w:val="32"/>
          <w:lang w:val="en-US" w:eastAsia="zh-CN"/>
        </w:rPr>
        <w:t>定点医药机构应及时将服务承诺情况报医疗保障经办机构，未作出承诺的相关人员不得开展涉及医保基金使用的医药服务。</w:t>
      </w:r>
    </w:p>
    <w:p w14:paraId="6509BDF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_GB2312" w:cs="仿宋_GB2312"/>
          <w:caps w:val="0"/>
          <w:strike w:val="0"/>
          <w:dstrike w:val="0"/>
          <w:color w:val="auto"/>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第二十条  </w:t>
      </w:r>
      <w:r>
        <w:rPr>
          <w:rFonts w:hint="eastAsia" w:ascii="Times New Roman" w:hAnsi="Times New Roman" w:eastAsia="仿宋_GB2312" w:cs="仿宋_GB2312"/>
          <w:caps w:val="0"/>
          <w:strike w:val="0"/>
          <w:dstrike w:val="0"/>
          <w:sz w:val="32"/>
          <w:szCs w:val="32"/>
          <w:lang w:val="en-US" w:eastAsia="zh-CN"/>
        </w:rPr>
        <w:t>相</w:t>
      </w:r>
      <w:r>
        <w:rPr>
          <w:rFonts w:hint="eastAsia" w:ascii="Times New Roman" w:hAnsi="Times New Roman" w:eastAsia="仿宋_GB2312" w:cs="仿宋_GB2312"/>
          <w:caps w:val="0"/>
          <w:strike w:val="0"/>
          <w:dstrike w:val="0"/>
          <w:color w:val="auto"/>
          <w:sz w:val="32"/>
          <w:szCs w:val="32"/>
          <w:lang w:val="en-US" w:eastAsia="zh-CN"/>
        </w:rPr>
        <w:t>关人员服务承诺实行个人承诺或定点医药机构集体承诺，服务承诺一般采取线上方式签署，线上签署确有困难的，可线下签署。</w:t>
      </w:r>
    </w:p>
    <w:p w14:paraId="3D953C0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第二十一条</w:t>
      </w:r>
      <w:r>
        <w:rPr>
          <w:rFonts w:hint="eastAsia" w:ascii="Times New Roman" w:hAnsi="Times New Roman" w:eastAsia="仿宋_GB2312" w:cs="仿宋_GB2312"/>
          <w:caps w:val="0"/>
          <w:strike w:val="0"/>
          <w:dstrike w:val="0"/>
          <w:sz w:val="32"/>
          <w:szCs w:val="32"/>
          <w:lang w:val="en-US" w:eastAsia="zh-CN"/>
        </w:rPr>
        <w:t xml:space="preserve">  相关人员出现违反服务协议、违背服务承诺的行为，医疗保障经办机构可根据规定，</w:t>
      </w:r>
      <w:r>
        <w:rPr>
          <w:rFonts w:hint="eastAsia" w:ascii="Times New Roman" w:hAnsi="Times New Roman" w:eastAsia="仿宋_GB2312" w:cs="仿宋_GB2312"/>
          <w:caps w:val="0"/>
          <w:strike w:val="0"/>
          <w:dstrike w:val="0"/>
          <w:sz w:val="32"/>
          <w:szCs w:val="32"/>
          <w:highlight w:val="none"/>
          <w:lang w:val="en-US" w:eastAsia="zh-CN"/>
        </w:rPr>
        <w:t>参照记分标准</w:t>
      </w:r>
      <w:r>
        <w:rPr>
          <w:rFonts w:hint="eastAsia" w:ascii="Times New Roman" w:hAnsi="Times New Roman" w:eastAsia="仿宋_GB2312" w:cs="仿宋_GB2312"/>
          <w:caps w:val="0"/>
          <w:strike w:val="0"/>
          <w:dstrike w:val="0"/>
          <w:sz w:val="32"/>
          <w:szCs w:val="32"/>
          <w:lang w:val="en-US" w:eastAsia="zh-CN"/>
        </w:rPr>
        <w:t>对相关人员记分。</w:t>
      </w:r>
    </w:p>
    <w:p w14:paraId="772CA967">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jc w:val="center"/>
        <w:textAlignment w:val="auto"/>
        <w:rPr>
          <w:rFonts w:hint="eastAsia" w:ascii="Times New Roman" w:hAnsi="Times New Roman" w:eastAsia="黑体" w:cs="黑体"/>
          <w:caps w:val="0"/>
          <w:kern w:val="2"/>
          <w:sz w:val="32"/>
          <w:szCs w:val="32"/>
          <w:lang w:val="en-US" w:eastAsia="zh-CN" w:bidi="ar-SA"/>
        </w:rPr>
      </w:pPr>
    </w:p>
    <w:p w14:paraId="0D2EEEA0">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第五章  记分管理</w:t>
      </w:r>
    </w:p>
    <w:p w14:paraId="6A8FE08C">
      <w:pPr>
        <w:pStyle w:val="5"/>
        <w:keepNext w:val="0"/>
        <w:keepLines w:val="0"/>
        <w:pageBreakBefore w:val="0"/>
        <w:widowControl w:val="0"/>
        <w:kinsoku/>
        <w:wordWrap/>
        <w:overflowPunct/>
        <w:topLinePunct w:val="0"/>
        <w:autoSpaceDE/>
        <w:autoSpaceDN/>
        <w:bidi w:val="0"/>
        <w:adjustRightInd/>
        <w:snapToGrid/>
        <w:spacing w:before="0" w:after="0" w:line="570" w:lineRule="exact"/>
        <w:textAlignment w:val="auto"/>
        <w:rPr>
          <w:rFonts w:hint="eastAsia"/>
          <w:lang w:val="en-US" w:eastAsia="zh-CN"/>
        </w:rPr>
      </w:pPr>
    </w:p>
    <w:p w14:paraId="5C582B5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color w:val="auto"/>
          <w:sz w:val="32"/>
          <w:szCs w:val="32"/>
          <w:highlight w:val="none"/>
          <w:lang w:val="en-US" w:eastAsia="zh-CN"/>
        </w:rPr>
      </w:pPr>
      <w:r>
        <w:rPr>
          <w:rFonts w:hint="eastAsia" w:ascii="Times New Roman" w:hAnsi="Times New Roman" w:eastAsia="黑体" w:cs="黑体"/>
          <w:caps w:val="0"/>
          <w:strike w:val="0"/>
          <w:dstrike w:val="0"/>
          <w:sz w:val="32"/>
          <w:szCs w:val="32"/>
          <w:lang w:val="en-US" w:eastAsia="zh-CN"/>
        </w:rPr>
        <w:t>第二十二条</w:t>
      </w:r>
      <w:r>
        <w:rPr>
          <w:rFonts w:hint="eastAsia" w:ascii="Times New Roman" w:hAnsi="Times New Roman" w:eastAsia="仿宋_GB2312" w:cs="仿宋_GB2312"/>
          <w:caps w:val="0"/>
          <w:strike w:val="0"/>
          <w:dstrike w:val="0"/>
          <w:sz w:val="32"/>
          <w:szCs w:val="32"/>
          <w:lang w:val="en-US" w:eastAsia="zh-CN"/>
        </w:rPr>
        <w:t xml:space="preserve">  </w:t>
      </w:r>
      <w:r>
        <w:rPr>
          <w:rFonts w:hint="eastAsia" w:ascii="Times New Roman" w:hAnsi="Times New Roman" w:eastAsia="仿宋_GB2312" w:cs="仿宋_GB2312"/>
          <w:caps w:val="0"/>
          <w:strike w:val="0"/>
          <w:dstrike w:val="0"/>
          <w:color w:val="auto"/>
          <w:sz w:val="32"/>
          <w:szCs w:val="32"/>
          <w:highlight w:val="none"/>
          <w:lang w:val="en-US" w:eastAsia="zh-CN"/>
        </w:rPr>
        <w:t>医保行政部门对定点医药机构作出行政处罚时，或医疗保障经办机构对定点医药机构作出协议处理时，应当同步认定相关人员责任。相关人员责任认定</w:t>
      </w:r>
      <w:r>
        <w:rPr>
          <w:rFonts w:hint="eastAsia" w:ascii="Times New Roman" w:hAnsi="Times New Roman" w:eastAsia="仿宋_GB2312" w:cs="仿宋_GB2312"/>
          <w:caps w:val="0"/>
          <w:strike w:val="0"/>
          <w:dstrike w:val="0"/>
          <w:color w:val="auto"/>
          <w:sz w:val="32"/>
          <w:szCs w:val="32"/>
          <w:lang w:val="en-US" w:eastAsia="zh-CN"/>
        </w:rPr>
        <w:t>按照山东省实施细则第七条、第八条、第九条、第十条、第十一条、第十二条有关要求执行。</w:t>
      </w:r>
    </w:p>
    <w:p w14:paraId="653F66C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第二十三条  </w:t>
      </w:r>
      <w:r>
        <w:rPr>
          <w:rFonts w:hint="eastAsia" w:ascii="Times New Roman" w:hAnsi="Times New Roman" w:eastAsia="仿宋_GB2312" w:cs="仿宋_GB2312"/>
          <w:caps w:val="0"/>
          <w:strike w:val="0"/>
          <w:dstrike w:val="0"/>
          <w:sz w:val="32"/>
          <w:szCs w:val="32"/>
          <w:lang w:val="en-US" w:eastAsia="zh-CN"/>
        </w:rPr>
        <w:t>对同一医保基金使用违法违规负面情形负一般责任者、重要责任者、主要责任者应按对应记分档次内从低到高记分。</w:t>
      </w:r>
    </w:p>
    <w:p w14:paraId="26175FA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对主动交代情况、如实说明问题、主动挽回损失、消除不利影响的相关责任人员，可在同一记分档次内从轻记分或减轻一档记分。</w:t>
      </w:r>
    </w:p>
    <w:p w14:paraId="556BF2E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黑体" w:cs="黑体"/>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对教唆或强迫他人违法违规，或者存在主观故意、拒不配合、拒不改正的相关责任人员，可在同一记分档次从重记分或加重一档记分。</w:t>
      </w:r>
    </w:p>
    <w:p w14:paraId="30EAD5F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第二十四条</w:t>
      </w:r>
      <w:r>
        <w:rPr>
          <w:rFonts w:hint="eastAsia" w:ascii="Times New Roman" w:hAnsi="Times New Roman" w:eastAsia="仿宋_GB2312" w:cs="仿宋_GB2312"/>
          <w:caps w:val="0"/>
          <w:strike w:val="0"/>
          <w:dstrike w:val="0"/>
          <w:sz w:val="32"/>
          <w:szCs w:val="32"/>
          <w:lang w:val="en-US" w:eastAsia="zh-CN"/>
        </w:rPr>
        <w:t xml:space="preserve">  在同一次监督检查中，发现涉及医保基金使用的相关责任人员有不同类型违法违规行为的，应分别记分，累加分值。同一违法违规行为涉及不同负面情形的，按最高分分值记分，不分别记分。因定点医药机构与不同统筹地区医疗保障经办机构分别签订医保协议，不同统筹地区医疗保障经办机构对同一定点医药机构的同一类型违法违规行为分别作出协议处理的，按最高分值记分，不分别记分。多点执业的医师在各执业点记分应累积计算。担任多家定点零售药店主要负责人的人员在各定点零售药店记分应累积计算。</w:t>
      </w:r>
    </w:p>
    <w:p w14:paraId="0D0FF0D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第二十五条  </w:t>
      </w:r>
      <w:r>
        <w:rPr>
          <w:rFonts w:hint="eastAsia" w:ascii="Times New Roman" w:hAnsi="Times New Roman" w:eastAsia="仿宋_GB2312" w:cs="仿宋_GB2312"/>
          <w:caps w:val="0"/>
          <w:strike w:val="0"/>
          <w:dstrike w:val="0"/>
          <w:sz w:val="32"/>
          <w:szCs w:val="32"/>
          <w:lang w:val="en-US" w:eastAsia="zh-CN"/>
        </w:rPr>
        <w:t>医疗保障经办机构</w:t>
      </w:r>
      <w:r>
        <w:rPr>
          <w:rFonts w:hint="eastAsia" w:ascii="Times New Roman" w:hAnsi="Times New Roman" w:eastAsia="仿宋_GB2312" w:cs="仿宋_GB2312"/>
          <w:caps w:val="0"/>
          <w:strike w:val="0"/>
          <w:dstrike w:val="0"/>
          <w:color w:val="auto"/>
          <w:sz w:val="32"/>
          <w:szCs w:val="32"/>
          <w:lang w:val="en-US" w:eastAsia="zh-CN"/>
        </w:rPr>
        <w:t>根据协议处理或医疗保障行政部门行政处罚后通报和共享的责</w:t>
      </w:r>
      <w:r>
        <w:rPr>
          <w:rFonts w:hint="eastAsia" w:ascii="Times New Roman" w:hAnsi="Times New Roman" w:eastAsia="仿宋_GB2312" w:cs="仿宋_GB2312"/>
          <w:caps w:val="0"/>
          <w:strike w:val="0"/>
          <w:dstrike w:val="0"/>
          <w:sz w:val="32"/>
          <w:szCs w:val="32"/>
          <w:lang w:val="en-US" w:eastAsia="zh-CN"/>
        </w:rPr>
        <w:t>任认定信息，按照山东省实施细则第十六条、第十七条、第十八条、第十九条、第二十条有关要求对相关人员记分。</w:t>
      </w:r>
    </w:p>
    <w:p w14:paraId="36D0CDA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第二十六条</w:t>
      </w:r>
      <w:r>
        <w:rPr>
          <w:rFonts w:hint="eastAsia" w:ascii="Times New Roman" w:hAnsi="Times New Roman" w:eastAsia="仿宋_GB2312" w:cs="仿宋_GB2312"/>
          <w:caps w:val="0"/>
          <w:strike w:val="0"/>
          <w:dstrike w:val="0"/>
          <w:sz w:val="32"/>
          <w:szCs w:val="32"/>
          <w:lang w:val="en-US" w:eastAsia="zh-CN"/>
        </w:rPr>
        <w:t xml:space="preserve">  记分以行政处罚（处理）、协议处理作出时为记分时点。相关人员记分在一个自然年度内累加计算，下一个自然年度自动清零。</w:t>
      </w:r>
      <w:r>
        <w:rPr>
          <w:rFonts w:hint="eastAsia" w:ascii="Times New Roman" w:hAnsi="Times New Roman" w:eastAsia="仿宋_GB2312" w:cs="仿宋_GB2312"/>
          <w:b w:val="0"/>
          <w:bCs w:val="0"/>
          <w:caps w:val="0"/>
          <w:strike w:val="0"/>
          <w:dstrike w:val="0"/>
          <w:color w:val="auto"/>
          <w:sz w:val="32"/>
          <w:szCs w:val="32"/>
          <w:highlight w:val="none"/>
          <w:u w:val="none"/>
          <w:lang w:val="en-US" w:eastAsia="zh-CN"/>
        </w:rPr>
        <w:t>行政处罚（处理）、协议处理作出时间与记分处理时间不在同一年度的，医疗保障经办机构应当将本次记分累加计算在行政处罚（处理）、协议处理作出时间对应的年度。</w:t>
      </w:r>
    </w:p>
    <w:p w14:paraId="395BD2B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b/>
          <w:bCs/>
          <w:caps w:val="0"/>
          <w:strike w:val="0"/>
          <w:dstrike w:val="0"/>
          <w:color w:val="00B0F0"/>
          <w:sz w:val="32"/>
          <w:szCs w:val="32"/>
          <w:u w:val="none"/>
          <w:lang w:val="en-US" w:eastAsia="zh-CN"/>
        </w:rPr>
      </w:pPr>
      <w:r>
        <w:rPr>
          <w:rFonts w:hint="eastAsia" w:ascii="Times New Roman" w:hAnsi="Times New Roman" w:eastAsia="仿宋_GB2312" w:cs="仿宋_GB2312"/>
          <w:caps w:val="0"/>
          <w:strike w:val="0"/>
          <w:dstrike w:val="0"/>
          <w:sz w:val="32"/>
          <w:szCs w:val="32"/>
          <w:lang w:val="en-US" w:eastAsia="zh-CN"/>
        </w:rPr>
        <w:t>记分载入相关人员“一医一</w:t>
      </w:r>
      <w:r>
        <w:rPr>
          <w:rFonts w:hint="eastAsia" w:ascii="Times New Roman" w:hAnsi="Times New Roman" w:eastAsia="仿宋_GB2312" w:cs="仿宋_GB2312"/>
          <w:caps w:val="0"/>
          <w:strike w:val="0"/>
          <w:dstrike w:val="0"/>
          <w:color w:val="auto"/>
          <w:sz w:val="32"/>
          <w:szCs w:val="32"/>
          <w:lang w:val="en-US" w:eastAsia="zh-CN"/>
        </w:rPr>
        <w:t>档”</w:t>
      </w:r>
      <w:r>
        <w:rPr>
          <w:rFonts w:hint="eastAsia" w:ascii="Times New Roman" w:hAnsi="Times New Roman" w:eastAsia="仿宋_GB2312" w:cs="仿宋_GB2312"/>
          <w:caps w:val="0"/>
          <w:strike w:val="0"/>
          <w:dstrike w:val="0"/>
          <w:sz w:val="32"/>
          <w:szCs w:val="32"/>
          <w:lang w:val="en-US" w:eastAsia="zh-CN"/>
        </w:rPr>
        <w:t>数据库，实现在全省范围内跨机构、跨区域联动，积极推动实现全国共享</w:t>
      </w:r>
      <w:r>
        <w:rPr>
          <w:rFonts w:hint="eastAsia" w:ascii="Times New Roman" w:hAnsi="Times New Roman" w:eastAsia="仿宋_GB2312" w:cs="仿宋_GB2312"/>
          <w:b w:val="0"/>
          <w:bCs w:val="0"/>
          <w:caps w:val="0"/>
          <w:strike w:val="0"/>
          <w:dstrike w:val="0"/>
          <w:color w:val="auto"/>
          <w:sz w:val="32"/>
          <w:szCs w:val="32"/>
          <w:u w:val="none"/>
          <w:lang w:val="en-US" w:eastAsia="zh-CN"/>
        </w:rPr>
        <w:t>可查。</w:t>
      </w:r>
    </w:p>
    <w:p w14:paraId="3D31902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b/>
          <w:bCs/>
          <w:caps w:val="0"/>
          <w:strike w:val="0"/>
          <w:dstrike w:val="0"/>
          <w:color w:val="FF0000"/>
          <w:sz w:val="32"/>
          <w:szCs w:val="32"/>
          <w:u w:val="single"/>
          <w:lang w:val="en-US" w:eastAsia="zh-CN"/>
        </w:rPr>
      </w:pPr>
      <w:r>
        <w:rPr>
          <w:rFonts w:hint="eastAsia" w:ascii="Times New Roman" w:hAnsi="Times New Roman" w:eastAsia="黑体" w:cs="黑体"/>
          <w:caps w:val="0"/>
          <w:strike w:val="0"/>
          <w:dstrike w:val="0"/>
          <w:sz w:val="32"/>
          <w:szCs w:val="32"/>
          <w:lang w:val="en-US" w:eastAsia="zh-CN"/>
        </w:rPr>
        <w:t>第二十七条</w:t>
      </w:r>
      <w:r>
        <w:rPr>
          <w:rFonts w:hint="eastAsia" w:ascii="Times New Roman" w:hAnsi="Times New Roman" w:eastAsia="仿宋_GB2312" w:cs="仿宋_GB2312"/>
          <w:caps w:val="0"/>
          <w:strike w:val="0"/>
          <w:dstrike w:val="0"/>
          <w:sz w:val="32"/>
          <w:szCs w:val="32"/>
          <w:lang w:val="en-US" w:eastAsia="zh-CN"/>
        </w:rPr>
        <w:t xml:space="preserve">  医疗保障经办机构对相关人员作出记分处理时，应核对当年度累计记分情况，并根据山东省实施细则第二十四条的规定，对相关责任人员采取相应的管理措施，视情节轻重暂停或终止相关人员医保支付资格。</w:t>
      </w:r>
    </w:p>
    <w:p w14:paraId="0CFA28B3">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70" w:lineRule="exact"/>
        <w:ind w:left="0" w:leftChars="0" w:right="0" w:rightChars="0" w:firstLine="640" w:firstLineChars="2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相关责任人员记分累计未达到9分的，医疗保障经办机构向相关责任人员所在定点医药机构通报记分情况，并根据实际情况对相关责任人员进行谈话提醒，定期组织医保政策法规和业务知识学习。</w:t>
      </w:r>
    </w:p>
    <w:p w14:paraId="51EAA2DE">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70" w:lineRule="exact"/>
        <w:ind w:left="0" w:leftChars="0" w:right="0" w:rightChars="0" w:firstLine="640" w:firstLineChars="2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记分累计达到9分，医疗保障经办机构暂停医保支付资格1个月；单次记分达到9分的，暂停医保支付资格2个月。</w:t>
      </w:r>
    </w:p>
    <w:p w14:paraId="367053DF">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70" w:lineRule="exact"/>
        <w:ind w:left="0" w:leftChars="0" w:right="0" w:rightChars="0" w:firstLine="640" w:firstLineChars="2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记分累计达到10分，医疗保障经办机构暂停医保支付资格3个月；单次记分达到10分的，暂停医保支付资格4个月。</w:t>
      </w:r>
    </w:p>
    <w:p w14:paraId="61560EA7">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70" w:lineRule="exact"/>
        <w:ind w:left="0" w:leftChars="0" w:right="0" w:rightChars="0" w:firstLine="640" w:firstLineChars="2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记分累计达到11分，医疗保障经办机构暂停医保支付资格5个月；单次记分达到11分的，暂停医保支付资格6个月。</w:t>
      </w:r>
    </w:p>
    <w:p w14:paraId="3B234868">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70" w:lineRule="exact"/>
        <w:ind w:left="0" w:leftChars="0" w:right="0" w:rightChars="0" w:firstLine="640" w:firstLineChars="2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记分累计达到12分，医疗保障经办机构终止医保支付资格，终止之日起１年内不得再次登记备案。</w:t>
      </w:r>
    </w:p>
    <w:p w14:paraId="0E49D642">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70" w:lineRule="exact"/>
        <w:ind w:left="0" w:leftChars="0" w:right="0" w:rightChars="0" w:firstLine="640" w:firstLineChars="2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单次记分为12分，医疗保障经办机构终止医保支付资格，终止之日起3年内不得再次登记备案。</w:t>
      </w:r>
    </w:p>
    <w:p w14:paraId="6F0E447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第二十八条  </w:t>
      </w:r>
      <w:r>
        <w:rPr>
          <w:rFonts w:hint="eastAsia" w:ascii="Times New Roman" w:hAnsi="Times New Roman" w:eastAsia="仿宋_GB2312" w:cs="仿宋_GB2312"/>
          <w:caps w:val="0"/>
          <w:strike w:val="0"/>
          <w:dstrike w:val="0"/>
          <w:sz w:val="32"/>
          <w:szCs w:val="32"/>
          <w:highlight w:val="none"/>
          <w:lang w:val="en-US" w:eastAsia="zh-CN"/>
        </w:rPr>
        <w:t>医疗保障经办机构对一个自然年度内登记备案状态为暂停或终止的人次超过一定比例的定点医药机构，视情况采取约谈、质保金扣除、纳入履约评价、加大审核核查力度等相应处理措施，并与医保基金结算清算挂钩。具体比例由各统筹地区确定。</w:t>
      </w:r>
    </w:p>
    <w:p w14:paraId="5E6585A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highlight w:val="none"/>
          <w:lang w:val="en-US" w:eastAsia="zh-CN"/>
        </w:rPr>
      </w:pPr>
      <w:r>
        <w:rPr>
          <w:rFonts w:hint="eastAsia" w:ascii="Times New Roman" w:hAnsi="Times New Roman" w:eastAsia="黑体" w:cs="黑体"/>
          <w:caps w:val="0"/>
          <w:strike w:val="0"/>
          <w:dstrike w:val="0"/>
          <w:sz w:val="32"/>
          <w:szCs w:val="32"/>
          <w:lang w:val="en-US" w:eastAsia="zh-CN"/>
        </w:rPr>
        <w:t>第二十九条</w:t>
      </w:r>
      <w:r>
        <w:rPr>
          <w:rFonts w:hint="eastAsia" w:ascii="Times New Roman" w:hAnsi="Times New Roman" w:eastAsia="仿宋_GB2312" w:cs="仿宋_GB2312"/>
          <w:caps w:val="0"/>
          <w:strike w:val="0"/>
          <w:dstrike w:val="0"/>
          <w:sz w:val="32"/>
          <w:szCs w:val="32"/>
          <w:lang w:val="en-US" w:eastAsia="zh-CN"/>
        </w:rPr>
        <w:t xml:space="preserve">  医疗保障经</w:t>
      </w:r>
      <w:r>
        <w:rPr>
          <w:rFonts w:hint="eastAsia" w:ascii="Times New Roman" w:hAnsi="Times New Roman" w:eastAsia="仿宋_GB2312" w:cs="仿宋_GB2312"/>
          <w:caps w:val="0"/>
          <w:strike w:val="0"/>
          <w:dstrike w:val="0"/>
          <w:sz w:val="32"/>
          <w:szCs w:val="32"/>
          <w:highlight w:val="none"/>
          <w:lang w:val="en-US" w:eastAsia="zh-CN"/>
        </w:rPr>
        <w:t>办机构在作出协议处理决定并认定相关人员责任或收到行政处罚决定书以及相关人员责任认定信息之日起5个工作日内，根据相关人员记分情况对相关人员进行记分处理并出具《支付资格处理通知书》。</w:t>
      </w:r>
    </w:p>
    <w:p w14:paraId="06AFE4E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第三十条</w:t>
      </w:r>
      <w:r>
        <w:rPr>
          <w:rFonts w:hint="eastAsia" w:ascii="Times New Roman" w:hAnsi="Times New Roman" w:eastAsia="仿宋_GB2312" w:cs="仿宋_GB2312"/>
          <w:caps w:val="0"/>
          <w:strike w:val="0"/>
          <w:dstrike w:val="0"/>
          <w:sz w:val="32"/>
          <w:szCs w:val="32"/>
          <w:lang w:val="en-US" w:eastAsia="zh-CN"/>
        </w:rPr>
        <w:t xml:space="preserve">  医疗保障经办机构出具《支付资格处理通知书》后，3个工作日内通过系统通知、直接送达、邮寄送达或传真、电子邮件等方式，送达相关责任人员发生本次记分处理行为所在的定点医药机构，相关责任人员登记备案状态需维护为暂停或终止的，其发生本次记分处理行为所在的定点医药机构根据《支付资格处理通知书》完成登记备案状态维护。</w:t>
      </w:r>
    </w:p>
    <w:p w14:paraId="47DA6B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第三十一条  </w:t>
      </w:r>
      <w:r>
        <w:rPr>
          <w:rFonts w:hint="eastAsia" w:ascii="Times New Roman" w:hAnsi="Times New Roman" w:eastAsia="仿宋_GB2312" w:cs="仿宋_GB2312"/>
          <w:caps w:val="0"/>
          <w:strike w:val="0"/>
          <w:dstrike w:val="0"/>
          <w:sz w:val="32"/>
          <w:szCs w:val="32"/>
          <w:lang w:val="en-US" w:eastAsia="zh-CN"/>
        </w:rPr>
        <w:t>医疗保障经办机构会同信息部门完善登记备案状态联动功能。</w:t>
      </w:r>
    </w:p>
    <w:p w14:paraId="24BFC37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在一家定点医药机构登记备案状态为暂停或终止的多点执业医师，在其他定点医药机构的登记备案状态自动调整为暂停或终止，未执业的其他定点医药机构均不得为其登记备案。</w:t>
      </w:r>
    </w:p>
    <w:p w14:paraId="1FCE706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定点零售药店主要负责人登记备案状态为暂停或终止的，相应责任人在其名下其他定点零售药店登记备案状态自动调整为暂停或终止。</w:t>
      </w:r>
    </w:p>
    <w:p w14:paraId="385A346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定点医药机构或部门（科室）被中止医保协议、中止（责令暂停）涉及医疗保障基金使用的医疗服务，应一并将相关责任人员登记备案状态调整为暂停；定点医药机构被解除服务协议，应一并将相关责任人员登记备案状态调整为终止。医疗保障经办机构根据山东省实施细则第二十七、二十八、二十九条的规定，确定相关责任人员暂停或者终止员医保基金资格的期限。相关人员对违法违规行为不负有责任的，登记备案状态仍为正常，不影响其在其他定点医药机构的执业（就业）。</w:t>
      </w:r>
    </w:p>
    <w:p w14:paraId="25108B3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第三十二条  </w:t>
      </w:r>
      <w:r>
        <w:rPr>
          <w:rFonts w:hint="eastAsia" w:ascii="Times New Roman" w:hAnsi="Times New Roman" w:eastAsia="仿宋_GB2312" w:cs="仿宋_GB2312"/>
          <w:caps w:val="0"/>
          <w:strike w:val="0"/>
          <w:dstrike w:val="0"/>
          <w:sz w:val="32"/>
          <w:szCs w:val="32"/>
          <w:lang w:val="en-US" w:eastAsia="zh-CN"/>
        </w:rPr>
        <w:t>医疗保障经办机构定期通过</w:t>
      </w:r>
      <w:r>
        <w:rPr>
          <w:rFonts w:hint="eastAsia" w:ascii="Times New Roman" w:hAnsi="Times New Roman" w:eastAsia="仿宋_GB2312" w:cs="仿宋_GB2312"/>
          <w:caps w:val="0"/>
          <w:strike w:val="0"/>
          <w:dstrike w:val="0"/>
          <w:color w:val="auto"/>
          <w:sz w:val="32"/>
          <w:szCs w:val="32"/>
          <w:lang w:val="en-US" w:eastAsia="zh-CN"/>
        </w:rPr>
        <w:t>医保信息平台，</w:t>
      </w:r>
      <w:r>
        <w:rPr>
          <w:rFonts w:hint="eastAsia" w:ascii="Times New Roman" w:hAnsi="Times New Roman" w:eastAsia="仿宋_GB2312" w:cs="仿宋_GB2312"/>
          <w:caps w:val="0"/>
          <w:strike w:val="0"/>
          <w:dstrike w:val="0"/>
          <w:sz w:val="32"/>
          <w:szCs w:val="32"/>
          <w:lang w:val="en-US" w:eastAsia="zh-CN"/>
        </w:rPr>
        <w:t>根据相关人员登记备案状态数据，开展相关人员服务承诺、人员登记备案状态维护等情况核查。</w:t>
      </w:r>
    </w:p>
    <w:p w14:paraId="612E04D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第三十三条  </w:t>
      </w:r>
      <w:r>
        <w:rPr>
          <w:rFonts w:hint="eastAsia" w:ascii="Times New Roman" w:hAnsi="Times New Roman" w:eastAsia="仿宋_GB2312" w:cs="仿宋_GB2312"/>
          <w:caps w:val="0"/>
          <w:strike w:val="0"/>
          <w:dstrike w:val="0"/>
          <w:sz w:val="32"/>
          <w:szCs w:val="32"/>
          <w:lang w:val="en-US" w:eastAsia="zh-CN"/>
        </w:rPr>
        <w:t>定点医药机构收到《支付资格处理通知书》后，及时通知相关责任人员，并对相关责任人员进行谈话提醒，做好记录。定期组织相关责任人员进行医保政策法规和业务知识学习培训。</w:t>
      </w:r>
    </w:p>
    <w:p w14:paraId="6282718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各统筹地区医疗保障经办机构根据实际情况对相关责任人员进行谈话提醒，定期组织医保政策法规和医保知识学习。</w:t>
      </w:r>
    </w:p>
    <w:p w14:paraId="5477161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第三十四条</w:t>
      </w:r>
      <w:r>
        <w:rPr>
          <w:rFonts w:hint="eastAsia" w:ascii="Times New Roman" w:hAnsi="Times New Roman" w:eastAsia="仿宋_GB2312" w:cs="仿宋_GB2312"/>
          <w:caps w:val="0"/>
          <w:strike w:val="0"/>
          <w:dstrike w:val="0"/>
          <w:sz w:val="32"/>
          <w:szCs w:val="32"/>
          <w:lang w:val="en-US" w:eastAsia="zh-CN"/>
        </w:rPr>
        <w:t xml:space="preserve">  定点医药机构向相关人员开放登记备案状态、记分等情况查询。应对相关人员进行有效标识，在一定范围内公开。</w:t>
      </w:r>
    </w:p>
    <w:p w14:paraId="1D82E19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第三十五条</w:t>
      </w:r>
      <w:r>
        <w:rPr>
          <w:rFonts w:hint="eastAsia" w:ascii="Times New Roman" w:hAnsi="Times New Roman" w:eastAsia="仿宋_GB2312" w:cs="仿宋_GB2312"/>
          <w:caps w:val="0"/>
          <w:strike w:val="0"/>
          <w:dstrike w:val="0"/>
          <w:sz w:val="32"/>
          <w:szCs w:val="32"/>
          <w:lang w:val="en-US" w:eastAsia="zh-CN"/>
        </w:rPr>
        <w:t xml:space="preserve">  </w:t>
      </w:r>
      <w:r>
        <w:rPr>
          <w:rFonts w:hint="eastAsia" w:ascii="Times New Roman" w:hAnsi="Times New Roman" w:eastAsia="仿宋_GB2312" w:cs="仿宋_GB2312"/>
          <w:caps w:val="0"/>
          <w:strike w:val="0"/>
          <w:dstrike w:val="0"/>
          <w:color w:val="auto"/>
          <w:sz w:val="32"/>
          <w:szCs w:val="32"/>
          <w:lang w:val="en-US" w:eastAsia="zh-CN"/>
        </w:rPr>
        <w:t>医疗保障经办机构</w:t>
      </w:r>
      <w:r>
        <w:rPr>
          <w:rFonts w:hint="eastAsia" w:ascii="Times New Roman" w:hAnsi="Times New Roman" w:eastAsia="仿宋_GB2312" w:cs="仿宋_GB2312"/>
          <w:caps w:val="0"/>
          <w:strike w:val="0"/>
          <w:dstrike w:val="0"/>
          <w:sz w:val="32"/>
          <w:szCs w:val="32"/>
          <w:lang w:val="en-US" w:eastAsia="zh-CN"/>
        </w:rPr>
        <w:t>根据山东省实施细则第三十二条规定及本地医疗保障部门制定的修复措施进行相关人员记分修复。</w:t>
      </w:r>
    </w:p>
    <w:p w14:paraId="0611736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相关人员提出记分修复申请的，经定点医药机构审核同意后，报属地医疗保障经办机构。医疗保障经办机构联合医疗保障行政部门建立专家库，抽取不少于3名专家，按照山东省实施细则要求审议相关人员的整改措施，并对相关人员参加记分减免活动等整改情况的真实性、合理性、有效性进行评估复核。对积极改正、主动参与医保部门医保管理工作的，医疗保障经办机构可以采取减免记分、缩减暂停或终止期限等修复措施。</w:t>
      </w:r>
    </w:p>
    <w:p w14:paraId="7BCEE24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第三十六条  </w:t>
      </w:r>
      <w:r>
        <w:rPr>
          <w:rFonts w:hint="eastAsia" w:ascii="Times New Roman" w:hAnsi="Times New Roman" w:eastAsia="仿宋_GB2312" w:cs="仿宋_GB2312"/>
          <w:caps w:val="0"/>
          <w:strike w:val="0"/>
          <w:dstrike w:val="0"/>
          <w:sz w:val="32"/>
          <w:szCs w:val="32"/>
          <w:lang w:val="en-US" w:eastAsia="zh-CN"/>
        </w:rPr>
        <w:t>相关责任人员登记备案状态暂停、终止期满前15个工作日，可由相关人员提出资格恢复申请，经定点医药机构审核同意后，报当地医疗保障经办机构。医疗保障经办机构收到申请后，原则上10个工作日内进行评估并将结果告知该定点医药机构。具体时限可由各统筹地区自行确定。</w:t>
      </w:r>
    </w:p>
    <w:p w14:paraId="07DE2C1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通过评估的，恢复相关责任人员医保支付资格，医疗保障经办机构通知相关责任人员发生记分处理行为所在的定点医药机构，将登记备案状态维护为正常。其中，暂停资格恢复的，年度内记分累计计算；因再次出现负面情形被记分应当暂停更长期限医保支付资格的，原暂停医保支付资格的期限累积计算，医疗保障经办机构应当追加暂停剩余期限的医保支付资格；因再次出现负面情形被记分应当终止医保支付资格的，原暂停医保支付资格的期限不累积计算；终止资格恢复的，需重新作出承诺和登记备案。</w:t>
      </w:r>
    </w:p>
    <w:p w14:paraId="22D1641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未通过评估的，医疗保障经办机构告知相关人员发生记分处理行为所在的定点医药机构，由定点医药机构通知相关人员。</w:t>
      </w:r>
    </w:p>
    <w:p w14:paraId="3C93CAE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第三十七条  </w:t>
      </w:r>
      <w:r>
        <w:rPr>
          <w:rFonts w:hint="eastAsia" w:ascii="Times New Roman" w:hAnsi="Times New Roman" w:eastAsia="仿宋_GB2312" w:cs="仿宋_GB2312"/>
          <w:caps w:val="0"/>
          <w:strike w:val="0"/>
          <w:dstrike w:val="0"/>
          <w:sz w:val="32"/>
          <w:szCs w:val="32"/>
          <w:lang w:val="en-US" w:eastAsia="zh-CN"/>
        </w:rPr>
        <w:t>医疗保障经办机构建立信息报送制度，定期向本级医疗保障行政部门报送定点医药机构相关人员的记分与处理情况。</w:t>
      </w:r>
    </w:p>
    <w:p w14:paraId="3522E8C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第三十八条  </w:t>
      </w:r>
      <w:r>
        <w:rPr>
          <w:rFonts w:hint="eastAsia" w:ascii="Times New Roman" w:hAnsi="Times New Roman" w:eastAsia="仿宋_GB2312" w:cs="仿宋_GB2312"/>
          <w:caps w:val="0"/>
          <w:strike w:val="0"/>
          <w:dstrike w:val="0"/>
          <w:sz w:val="32"/>
          <w:szCs w:val="32"/>
          <w:lang w:val="en-US" w:eastAsia="zh-CN"/>
        </w:rPr>
        <w:t>医疗保障经办机构和定点医药机构在日常审核管理中，对医疗服务质量优良、基金使用效率高，且无医保基金违法违规行为的相关人员，可予以</w:t>
      </w:r>
      <w:r>
        <w:rPr>
          <w:rFonts w:hint="eastAsia" w:ascii="Times New Roman" w:hAnsi="Times New Roman" w:eastAsia="仿宋_GB2312" w:cs="仿宋_GB2312"/>
          <w:caps w:val="0"/>
          <w:strike w:val="0"/>
          <w:dstrike w:val="0"/>
          <w:color w:val="auto"/>
          <w:sz w:val="32"/>
          <w:szCs w:val="32"/>
          <w:lang w:val="en-US" w:eastAsia="zh-CN"/>
        </w:rPr>
        <w:t>医保好医师、好药师</w:t>
      </w:r>
      <w:r>
        <w:rPr>
          <w:rFonts w:hint="eastAsia" w:ascii="Times New Roman" w:hAnsi="Times New Roman" w:eastAsia="仿宋_GB2312" w:cs="仿宋_GB2312"/>
          <w:caps w:val="0"/>
          <w:strike w:val="0"/>
          <w:dstrike w:val="0"/>
          <w:sz w:val="32"/>
          <w:szCs w:val="32"/>
          <w:lang w:val="en-US" w:eastAsia="zh-CN"/>
        </w:rPr>
        <w:t>正向激励，并鼓励定点医药机构将其与个人绩效考核挂钩。</w:t>
      </w:r>
    </w:p>
    <w:p w14:paraId="0A59302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Times New Roman" w:hAnsi="Times New Roman" w:eastAsia="黑体" w:cs="黑体"/>
          <w:caps w:val="0"/>
          <w:strike w:val="0"/>
          <w:dstrike w:val="0"/>
          <w:sz w:val="32"/>
          <w:szCs w:val="32"/>
          <w:lang w:val="en-US" w:eastAsia="zh-CN"/>
        </w:rPr>
      </w:pPr>
    </w:p>
    <w:p w14:paraId="5425E2A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第六章  异议申诉</w:t>
      </w:r>
    </w:p>
    <w:p w14:paraId="50309A6F">
      <w:pPr>
        <w:pStyle w:val="5"/>
        <w:keepNext w:val="0"/>
        <w:keepLines w:val="0"/>
        <w:pageBreakBefore w:val="0"/>
        <w:widowControl w:val="0"/>
        <w:kinsoku/>
        <w:wordWrap/>
        <w:overflowPunct/>
        <w:topLinePunct w:val="0"/>
        <w:autoSpaceDE/>
        <w:autoSpaceDN/>
        <w:bidi w:val="0"/>
        <w:adjustRightInd/>
        <w:snapToGrid/>
        <w:spacing w:before="0" w:after="0" w:line="570" w:lineRule="exact"/>
        <w:textAlignment w:val="auto"/>
        <w:rPr>
          <w:rFonts w:hint="eastAsia"/>
          <w:lang w:val="en-US" w:eastAsia="zh-CN"/>
        </w:rPr>
      </w:pPr>
    </w:p>
    <w:p w14:paraId="1AEDFC8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第三十九条  </w:t>
      </w:r>
      <w:r>
        <w:rPr>
          <w:rFonts w:hint="eastAsia" w:ascii="Times New Roman" w:hAnsi="Times New Roman" w:eastAsia="仿宋_GB2312" w:cs="仿宋_GB2312"/>
          <w:caps w:val="0"/>
          <w:strike w:val="0"/>
          <w:dstrike w:val="0"/>
          <w:sz w:val="32"/>
          <w:szCs w:val="32"/>
          <w:lang w:val="en-US" w:eastAsia="zh-CN"/>
        </w:rPr>
        <w:t>定点医药机构或相关责任人员对医疗保障经办机构作出的记分或登记备案状态存在异议的，在收到《支付资格处理通知书》后10个工作日内，向医疗保障经办机构提出书面申诉，陈述申辩材料需经相关责任人员签字及定点医药机构盖章确认。逾期未申诉的，视为无异议。</w:t>
      </w:r>
    </w:p>
    <w:p w14:paraId="1A725A0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第四十条</w:t>
      </w:r>
      <w:r>
        <w:rPr>
          <w:rFonts w:hint="eastAsia" w:ascii="Times New Roman" w:hAnsi="Times New Roman" w:eastAsia="仿宋_GB2312" w:cs="仿宋_GB2312"/>
          <w:caps w:val="0"/>
          <w:strike w:val="0"/>
          <w:dstrike w:val="0"/>
          <w:sz w:val="32"/>
          <w:szCs w:val="32"/>
          <w:lang w:val="en-US" w:eastAsia="zh-CN"/>
        </w:rPr>
        <w:t xml:space="preserve">  医疗保障经办机构根据行政处罚（处理）或协议处理确定的负面情形及责任程度、相关责任人员的配合程度作出记分或登记备案状态维护处理，定点医药机构或相关责任人员有异议的，医疗保障经办机构对作出的记分结果进行解释说明。</w:t>
      </w:r>
    </w:p>
    <w:p w14:paraId="73EDFD3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第四十一条</w:t>
      </w:r>
      <w:r>
        <w:rPr>
          <w:rFonts w:hint="eastAsia" w:ascii="Times New Roman" w:hAnsi="Times New Roman" w:eastAsia="仿宋_GB2312" w:cs="仿宋_GB2312"/>
          <w:caps w:val="0"/>
          <w:strike w:val="0"/>
          <w:dstrike w:val="0"/>
          <w:sz w:val="32"/>
          <w:szCs w:val="32"/>
          <w:lang w:val="en-US" w:eastAsia="zh-CN"/>
        </w:rPr>
        <w:t xml:space="preserve">  各统筹地区医疗保障部门建立健全争议处理机制，对存在争议的专业问题</w:t>
      </w:r>
      <w:r>
        <w:rPr>
          <w:rFonts w:hint="eastAsia" w:ascii="Times New Roman" w:hAnsi="Times New Roman" w:eastAsia="仿宋_GB2312" w:cs="仿宋_GB2312"/>
          <w:caps w:val="0"/>
          <w:strike w:val="0"/>
          <w:dstrike w:val="0"/>
          <w:sz w:val="32"/>
          <w:szCs w:val="32"/>
          <w:highlight w:val="none"/>
          <w:lang w:val="en-US" w:eastAsia="zh-CN"/>
        </w:rPr>
        <w:t>，组织第三方专业机构或专家组评估鉴定，确保公</w:t>
      </w:r>
      <w:r>
        <w:rPr>
          <w:rFonts w:hint="eastAsia" w:ascii="Times New Roman" w:hAnsi="Times New Roman" w:eastAsia="仿宋_GB2312" w:cs="仿宋_GB2312"/>
          <w:caps w:val="0"/>
          <w:strike w:val="0"/>
          <w:dstrike w:val="0"/>
          <w:sz w:val="32"/>
          <w:szCs w:val="32"/>
          <w:lang w:val="en-US" w:eastAsia="zh-CN"/>
        </w:rPr>
        <w:t>平公正合理。</w:t>
      </w:r>
    </w:p>
    <w:p w14:paraId="7A6214C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第四十二条</w:t>
      </w:r>
      <w:r>
        <w:rPr>
          <w:rFonts w:hint="eastAsia" w:ascii="Times New Roman" w:hAnsi="Times New Roman" w:eastAsia="仿宋_GB2312" w:cs="仿宋_GB2312"/>
          <w:caps w:val="0"/>
          <w:strike w:val="0"/>
          <w:dstrike w:val="0"/>
          <w:sz w:val="32"/>
          <w:szCs w:val="32"/>
          <w:lang w:val="en-US" w:eastAsia="zh-CN"/>
        </w:rPr>
        <w:t xml:space="preserve">  确认申诉结果后，医疗保障部门及时将结果告知相关定点医药机构和相关人员。确需修改处理结果的，医疗保障经办机构及时调整记分情况，涉及登记备案状态调整的，医疗保障经办机构应及时通知定点医药机构维护登记备案状态；维持原状的，医疗保障部门应告知原因。原则上，申诉核实工作在收到申诉材料后20个工作日内完成，形成的申诉核实结果于3个工作日内送达相关定点医药机构，由相关定点医药机构告知相关人员。需第三方专业机构或专家组评估鉴定的除外。</w:t>
      </w:r>
    </w:p>
    <w:p w14:paraId="5135834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p>
    <w:p w14:paraId="09CE1F3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第七章  结算清算</w:t>
      </w:r>
    </w:p>
    <w:p w14:paraId="335D3047">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textAlignment w:val="auto"/>
        <w:rPr>
          <w:rFonts w:hint="eastAsia"/>
          <w:lang w:val="en-US" w:eastAsia="zh-CN"/>
        </w:rPr>
      </w:pPr>
    </w:p>
    <w:p w14:paraId="1DF0D57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第四十三条</w:t>
      </w:r>
      <w:r>
        <w:rPr>
          <w:rFonts w:hint="eastAsia" w:ascii="Times New Roman" w:hAnsi="Times New Roman" w:eastAsia="仿宋_GB2312" w:cs="仿宋_GB2312"/>
          <w:caps w:val="0"/>
          <w:strike w:val="0"/>
          <w:dstrike w:val="0"/>
          <w:sz w:val="32"/>
          <w:szCs w:val="32"/>
          <w:lang w:val="en-US" w:eastAsia="zh-CN"/>
        </w:rPr>
        <w:t xml:space="preserve">  定点医药机构应加强相关人员管理，对被医疗保障部门暂停或终止医保支付资格的相关责任人员，及时暂停或终止其为参保人员提供与医保基金使用相关的医药服务。相关责任人员被暂停或终止医保支付资格后，定点医药机构不得申报其暂停或终止医保支付资格后发生的医保结算费用，急诊、抢救等特殊情形除外。医保部门要加强违规上传费用实时监测预警，保障基金运行安全。</w:t>
      </w:r>
    </w:p>
    <w:p w14:paraId="0FE7915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第四十四条</w:t>
      </w:r>
      <w:r>
        <w:rPr>
          <w:rFonts w:hint="eastAsia" w:ascii="Times New Roman" w:hAnsi="Times New Roman" w:eastAsia="仿宋_GB2312" w:cs="仿宋_GB2312"/>
          <w:caps w:val="0"/>
          <w:strike w:val="0"/>
          <w:dstrike w:val="0"/>
          <w:sz w:val="32"/>
          <w:szCs w:val="32"/>
          <w:lang w:val="en-US" w:eastAsia="zh-CN"/>
        </w:rPr>
        <w:t xml:space="preserve">  医疗保障经办机构定期核查相关责任人员登记备案状态，发现定点医药机构未按要求维护的，责成该定点医药机构立即整改到位。拒不整改的，按照协议处理，并加大履约评价力度。由于定点医药机构未及时更新维护相关人员登记备案状态，造成医保基金损失的，由该定点医药机构承担相应医保基金损失。</w:t>
      </w:r>
    </w:p>
    <w:p w14:paraId="68C9896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第四十五条</w:t>
      </w:r>
      <w:r>
        <w:rPr>
          <w:rFonts w:hint="eastAsia" w:ascii="Times New Roman" w:hAnsi="Times New Roman" w:eastAsia="仿宋_GB2312" w:cs="仿宋_GB2312"/>
          <w:caps w:val="0"/>
          <w:strike w:val="0"/>
          <w:dstrike w:val="0"/>
          <w:sz w:val="32"/>
          <w:szCs w:val="32"/>
          <w:lang w:val="en-US" w:eastAsia="zh-CN"/>
        </w:rPr>
        <w:t xml:space="preserve">  医疗保障经办机构做好定点医药机构申报费用审核。可充分运用医保信息平台，将相关人员暂停、终止资格状态与结算系统、智能监管子系统等信息系统关联，实时预</w:t>
      </w:r>
      <w:r>
        <w:rPr>
          <w:rFonts w:hint="eastAsia" w:ascii="Times New Roman" w:hAnsi="Times New Roman" w:eastAsia="仿宋_GB2312" w:cs="仿宋_GB2312"/>
          <w:caps w:val="0"/>
          <w:strike w:val="0"/>
          <w:dstrike w:val="0"/>
          <w:color w:val="auto"/>
          <w:sz w:val="32"/>
          <w:szCs w:val="32"/>
          <w:lang w:val="en-US" w:eastAsia="zh-CN"/>
        </w:rPr>
        <w:t>警监控，做</w:t>
      </w:r>
      <w:r>
        <w:rPr>
          <w:rFonts w:hint="eastAsia" w:ascii="Times New Roman" w:hAnsi="Times New Roman" w:eastAsia="仿宋_GB2312" w:cs="仿宋_GB2312"/>
          <w:caps w:val="0"/>
          <w:strike w:val="0"/>
          <w:dstrike w:val="0"/>
          <w:sz w:val="32"/>
          <w:szCs w:val="32"/>
          <w:lang w:val="en-US" w:eastAsia="zh-CN"/>
        </w:rPr>
        <w:t>好医保月度结算审核和年度清算审核。</w:t>
      </w:r>
    </w:p>
    <w:p w14:paraId="7B54CF3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第四十六条</w:t>
      </w:r>
      <w:r>
        <w:rPr>
          <w:rFonts w:hint="eastAsia" w:ascii="Times New Roman" w:hAnsi="Times New Roman" w:eastAsia="仿宋_GB2312" w:cs="仿宋_GB2312"/>
          <w:caps w:val="0"/>
          <w:strike w:val="0"/>
          <w:dstrike w:val="0"/>
          <w:sz w:val="32"/>
          <w:szCs w:val="32"/>
          <w:lang w:val="en-US" w:eastAsia="zh-CN"/>
        </w:rPr>
        <w:t xml:space="preserve">  医疗保障经办机构通过智能审核、人工审核等方式核查定点医药机构医保费用，涉及被暂停或终止医保支付资格的相关责任人员开具的医保费用，不予支付相关费用。已支付的，应追回相关费用（第四十三条规定的特殊情形除外）。</w:t>
      </w:r>
    </w:p>
    <w:p w14:paraId="4B23E028">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第八章  监督管理</w:t>
      </w:r>
    </w:p>
    <w:p w14:paraId="089749F6">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textAlignment w:val="auto"/>
        <w:rPr>
          <w:rFonts w:hint="eastAsia"/>
          <w:lang w:val="en-US" w:eastAsia="zh-CN"/>
        </w:rPr>
      </w:pPr>
    </w:p>
    <w:p w14:paraId="01F0AC6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第四十七条</w:t>
      </w:r>
      <w:r>
        <w:rPr>
          <w:rFonts w:hint="eastAsia" w:ascii="Times New Roman" w:hAnsi="Times New Roman" w:eastAsia="仿宋_GB2312" w:cs="仿宋_GB2312"/>
          <w:caps w:val="0"/>
          <w:strike w:val="0"/>
          <w:dstrike w:val="0"/>
          <w:sz w:val="32"/>
          <w:szCs w:val="32"/>
          <w:lang w:val="en-US" w:eastAsia="zh-CN"/>
        </w:rPr>
        <w:t xml:space="preserve">  医疗保障经办机构应自觉接受医保行政部门的监督，做好定点医药机构相关人员医保支付资格管理工作。</w:t>
      </w:r>
    </w:p>
    <w:p w14:paraId="74B9B44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第四十八条</w:t>
      </w:r>
      <w:r>
        <w:rPr>
          <w:rFonts w:hint="eastAsia" w:ascii="Times New Roman" w:hAnsi="Times New Roman" w:eastAsia="仿宋_GB2312" w:cs="仿宋_GB2312"/>
          <w:caps w:val="0"/>
          <w:strike w:val="0"/>
          <w:dstrike w:val="0"/>
          <w:sz w:val="32"/>
          <w:szCs w:val="32"/>
          <w:lang w:val="en-US" w:eastAsia="zh-CN"/>
        </w:rPr>
        <w:t xml:space="preserve">  医疗保障经办机构应当建立健全相关人员医保支付资格内部控制制度，明确对定点医药机构相关人员记分管理、审核结算等岗位责任，建立完善风险防控机制，防范基金风险，接受各方监督，确保基金安全。</w:t>
      </w:r>
    </w:p>
    <w:p w14:paraId="0B4BCD2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第四十九条</w:t>
      </w:r>
      <w:r>
        <w:rPr>
          <w:rFonts w:hint="eastAsia" w:ascii="Times New Roman" w:hAnsi="Times New Roman" w:eastAsia="仿宋_GB2312" w:cs="仿宋_GB2312"/>
          <w:caps w:val="0"/>
          <w:strike w:val="0"/>
          <w:dstrike w:val="0"/>
          <w:sz w:val="32"/>
          <w:szCs w:val="32"/>
          <w:lang w:val="en-US" w:eastAsia="zh-CN"/>
        </w:rPr>
        <w:t xml:space="preserve">  定点医药机构应加强监督管理，建立内部管理办法，明确内部管理责任部门和相关人员岗位职责，进行内部加强监督管理和考核，充分发挥内部科室医保管理员作用。</w:t>
      </w:r>
    </w:p>
    <w:p w14:paraId="4D0116A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第五十条</w:t>
      </w:r>
      <w:r>
        <w:rPr>
          <w:rFonts w:hint="eastAsia" w:ascii="Times New Roman" w:hAnsi="Times New Roman" w:eastAsia="仿宋_GB2312" w:cs="仿宋_GB2312"/>
          <w:caps w:val="0"/>
          <w:strike w:val="0"/>
          <w:dstrike w:val="0"/>
          <w:sz w:val="32"/>
          <w:szCs w:val="32"/>
          <w:lang w:val="en-US" w:eastAsia="zh-CN"/>
        </w:rPr>
        <w:t xml:space="preserve">  医疗保障经办机构协助医保行政部门建立对定点医药机构处理及其涉及人员处理的信息共享、反馈机制，及时获取同级药品监管等部门查处的定点医药机构和人员违法信息，并及时将定点医疗机构、定点零售药店相关人员的记分与处理情况通报同级卫生健康主管部门、药品监管部门。</w:t>
      </w:r>
    </w:p>
    <w:p w14:paraId="7CBACF0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第五十一条</w:t>
      </w:r>
      <w:r>
        <w:rPr>
          <w:rFonts w:hint="eastAsia" w:ascii="Times New Roman" w:hAnsi="Times New Roman" w:eastAsia="仿宋_GB2312" w:cs="仿宋_GB2312"/>
          <w:caps w:val="0"/>
          <w:strike w:val="0"/>
          <w:dstrike w:val="0"/>
          <w:sz w:val="32"/>
          <w:szCs w:val="32"/>
          <w:lang w:val="en-US" w:eastAsia="zh-CN"/>
        </w:rPr>
        <w:t xml:space="preserve">  鼓励社会力量参与相关人员医保支付资格管理工作，动员行业协会等组织力量广泛参与，群策群力，发挥各自优势，促进形成社会共治格局。</w:t>
      </w:r>
    </w:p>
    <w:p w14:paraId="5FC70F01">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p>
    <w:p w14:paraId="2BC25FF2">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第九章  信息化建设</w:t>
      </w:r>
    </w:p>
    <w:p w14:paraId="30E5BE2A">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textAlignment w:val="auto"/>
        <w:rPr>
          <w:rFonts w:hint="eastAsia"/>
          <w:lang w:val="en-US" w:eastAsia="zh-CN"/>
        </w:rPr>
      </w:pPr>
    </w:p>
    <w:p w14:paraId="5167546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 xml:space="preserve">第五十二条  </w:t>
      </w:r>
      <w:r>
        <w:rPr>
          <w:rFonts w:hint="eastAsia" w:ascii="Times New Roman" w:hAnsi="Times New Roman" w:eastAsia="仿宋_GB2312" w:cs="仿宋_GB2312"/>
          <w:caps w:val="0"/>
          <w:strike w:val="0"/>
          <w:dstrike w:val="0"/>
          <w:sz w:val="32"/>
          <w:szCs w:val="32"/>
          <w:lang w:val="en-US" w:eastAsia="zh-CN"/>
        </w:rPr>
        <w:t>各统筹地区医疗保障经办机构要用好医保支付资格管理模块，优化完善智能审核和监控规则，健全工作标准和信息化管理工具，实现相关人员备案状态与结算系统联动。积极探索与卫健、药监等行业管理部门相关信息互联互通、信息共享等工作。</w:t>
      </w:r>
    </w:p>
    <w:p w14:paraId="4E1FD3D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第五十三条</w:t>
      </w:r>
      <w:r>
        <w:rPr>
          <w:rFonts w:hint="eastAsia" w:ascii="Times New Roman" w:hAnsi="Times New Roman" w:eastAsia="仿宋_GB2312" w:cs="仿宋_GB2312"/>
          <w:caps w:val="0"/>
          <w:strike w:val="0"/>
          <w:dstrike w:val="0"/>
          <w:sz w:val="32"/>
          <w:szCs w:val="32"/>
          <w:lang w:val="en-US" w:eastAsia="zh-CN"/>
        </w:rPr>
        <w:t xml:space="preserve">  定点医药机构应加强信息化建设，</w:t>
      </w:r>
      <w:r>
        <w:rPr>
          <w:rFonts w:hint="eastAsia" w:ascii="Times New Roman" w:hAnsi="Times New Roman" w:eastAsia="仿宋_GB2312" w:cs="仿宋_GB2312"/>
          <w:caps w:val="0"/>
          <w:strike w:val="0"/>
          <w:dstrike w:val="0"/>
          <w:spacing w:val="6"/>
          <w:sz w:val="32"/>
          <w:szCs w:val="32"/>
          <w:lang w:val="en-US" w:eastAsia="zh-CN"/>
        </w:rPr>
        <w:t>按照国家和省接口规范实现与医保信息平台医保支付资格管理功能联通。</w:t>
      </w:r>
    </w:p>
    <w:p w14:paraId="38F31CD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第五十四条</w:t>
      </w:r>
      <w:r>
        <w:rPr>
          <w:rFonts w:hint="eastAsia" w:ascii="Times New Roman" w:hAnsi="Times New Roman" w:eastAsia="仿宋_GB2312" w:cs="仿宋_GB2312"/>
          <w:caps w:val="0"/>
          <w:strike w:val="0"/>
          <w:dstrike w:val="0"/>
          <w:sz w:val="32"/>
          <w:szCs w:val="32"/>
          <w:lang w:val="en-US" w:eastAsia="zh-CN"/>
        </w:rPr>
        <w:t xml:space="preserve">  医疗保障经办机构应建立系统用户管理制度，明确不同单位不同岗位的权限内容，</w:t>
      </w:r>
      <w:r>
        <w:rPr>
          <w:rFonts w:hint="eastAsia" w:ascii="Times New Roman" w:hAnsi="Times New Roman" w:eastAsia="仿宋_GB2312" w:cs="仿宋_GB2312"/>
          <w:caps w:val="0"/>
          <w:strike w:val="0"/>
          <w:dstrike w:val="0"/>
          <w:spacing w:val="6"/>
          <w:sz w:val="32"/>
          <w:szCs w:val="32"/>
          <w:lang w:val="en-US" w:eastAsia="zh-CN"/>
        </w:rPr>
        <w:t>专岗专权；对于系统权限设置专人管理，负责用户账号管理、用户角色权限分配和维护，从用户权限申请、审批、配置、变更、注销等方面进行全过程管理。</w:t>
      </w:r>
    </w:p>
    <w:p w14:paraId="0904D8D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第五十五条</w:t>
      </w:r>
      <w:r>
        <w:rPr>
          <w:rFonts w:hint="eastAsia" w:ascii="Times New Roman" w:hAnsi="Times New Roman" w:eastAsia="仿宋_GB2312" w:cs="仿宋_GB2312"/>
          <w:caps w:val="0"/>
          <w:strike w:val="0"/>
          <w:dstrike w:val="0"/>
          <w:sz w:val="32"/>
          <w:szCs w:val="32"/>
          <w:lang w:val="en-US" w:eastAsia="zh-CN"/>
        </w:rPr>
        <w:t xml:space="preserve">  医疗保障经办机构要依托“一医一档”，全面记录相关人员记分情况及遵守医保相关法律法规的情况。</w:t>
      </w:r>
    </w:p>
    <w:p w14:paraId="6422971C">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jc w:val="center"/>
        <w:textAlignment w:val="auto"/>
        <w:rPr>
          <w:rFonts w:hint="eastAsia" w:ascii="Times New Roman" w:hAnsi="Times New Roman" w:eastAsia="黑体" w:cs="黑体"/>
          <w:caps w:val="0"/>
          <w:kern w:val="2"/>
          <w:sz w:val="32"/>
          <w:szCs w:val="32"/>
          <w:lang w:val="en-US" w:eastAsia="zh-CN" w:bidi="ar-SA"/>
        </w:rPr>
      </w:pPr>
    </w:p>
    <w:p w14:paraId="604B416B">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jc w:val="center"/>
        <w:textAlignment w:val="auto"/>
        <w:rPr>
          <w:rFonts w:hint="eastAsia" w:ascii="Times New Roman" w:hAnsi="Times New Roman" w:eastAsia="黑体" w:cs="黑体"/>
          <w:caps w:val="0"/>
          <w:kern w:val="2"/>
          <w:sz w:val="32"/>
          <w:szCs w:val="32"/>
          <w:lang w:val="en-US" w:eastAsia="zh-CN" w:bidi="ar-SA"/>
        </w:rPr>
      </w:pPr>
      <w:r>
        <w:rPr>
          <w:rFonts w:hint="eastAsia" w:ascii="Times New Roman" w:hAnsi="Times New Roman" w:eastAsia="黑体" w:cs="黑体"/>
          <w:caps w:val="0"/>
          <w:kern w:val="2"/>
          <w:sz w:val="32"/>
          <w:szCs w:val="32"/>
          <w:lang w:val="en-US" w:eastAsia="zh-CN" w:bidi="ar-SA"/>
        </w:rPr>
        <w:t>第十章  附则</w:t>
      </w:r>
    </w:p>
    <w:p w14:paraId="1D218DBD">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textAlignment w:val="auto"/>
        <w:rPr>
          <w:rFonts w:hint="eastAsia"/>
          <w:lang w:val="en-US" w:eastAsia="zh-CN"/>
        </w:rPr>
      </w:pPr>
    </w:p>
    <w:p w14:paraId="4091F0F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第五十六条</w:t>
      </w:r>
      <w:r>
        <w:rPr>
          <w:rFonts w:hint="eastAsia" w:ascii="Times New Roman" w:hAnsi="Times New Roman" w:eastAsia="仿宋_GB2312" w:cs="仿宋_GB2312"/>
          <w:caps w:val="0"/>
          <w:strike w:val="0"/>
          <w:dstrike w:val="0"/>
          <w:sz w:val="32"/>
          <w:szCs w:val="32"/>
          <w:lang w:val="en-US" w:eastAsia="zh-CN"/>
        </w:rPr>
        <w:t xml:space="preserve">  各统筹地区医疗保障经办机构要分步实施、稳妥推进医保支付资格管理工作。已开展支付资格管理的地区，要在2年内过渡到本规程的框架内。</w:t>
      </w:r>
    </w:p>
    <w:p w14:paraId="2F8298E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黑体" w:cs="黑体"/>
          <w:caps w:val="0"/>
          <w:strike w:val="0"/>
          <w:dstrike w:val="0"/>
          <w:sz w:val="32"/>
          <w:szCs w:val="32"/>
          <w:lang w:val="en-US" w:eastAsia="zh-CN"/>
        </w:rPr>
        <w:t>第五十七条</w:t>
      </w:r>
      <w:r>
        <w:rPr>
          <w:rFonts w:hint="eastAsia" w:ascii="Times New Roman" w:hAnsi="Times New Roman" w:eastAsia="仿宋_GB2312" w:cs="仿宋_GB2312"/>
          <w:caps w:val="0"/>
          <w:strike w:val="0"/>
          <w:dstrike w:val="0"/>
          <w:sz w:val="32"/>
          <w:szCs w:val="32"/>
          <w:lang w:val="en-US" w:eastAsia="zh-CN"/>
        </w:rPr>
        <w:t xml:space="preserve">  本规程自2025年4月1日起施行。国家和省另有规定的从其新规。</w:t>
      </w:r>
    </w:p>
    <w:p w14:paraId="671D379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p>
    <w:p w14:paraId="7580DEF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附件：1.定点医药机构相关人员承诺书</w:t>
      </w:r>
    </w:p>
    <w:p w14:paraId="3C370ED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 xml:space="preserve">          2.定点医药机构相关人员集体承诺书</w:t>
      </w:r>
    </w:p>
    <w:p w14:paraId="6072B9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1600" w:firstLineChars="500"/>
        <w:textAlignment w:val="auto"/>
        <w:rPr>
          <w:rFonts w:hint="default"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3.定点医药机构相关人员登记备案表</w:t>
      </w:r>
    </w:p>
    <w:p w14:paraId="6FF05CB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 xml:space="preserve">          4.定点医药机构相关人员记分处理通知书</w:t>
      </w:r>
    </w:p>
    <w:p w14:paraId="6907EB3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1600" w:firstLineChars="5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5.定点医药机构相关人员记分修复申请书</w:t>
      </w:r>
    </w:p>
    <w:p w14:paraId="09CF2A5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1600" w:firstLineChars="5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6.定点医药机构相关人员陈述申辩书</w:t>
      </w:r>
    </w:p>
    <w:p w14:paraId="428C9DD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1600" w:firstLineChars="500"/>
        <w:textAlignment w:val="auto"/>
        <w:rPr>
          <w:rFonts w:hint="eastAsia" w:ascii="Times New Roman" w:hAnsi="Times New Roman" w:eastAsia="仿宋_GB2312" w:cs="仿宋_GB2312"/>
          <w:caps w:val="0"/>
          <w:strike w:val="0"/>
          <w:dstrike w:val="0"/>
          <w:sz w:val="32"/>
          <w:szCs w:val="32"/>
          <w:lang w:val="en-US" w:eastAsia="zh-CN"/>
        </w:rPr>
      </w:pPr>
      <w:r>
        <w:rPr>
          <w:rFonts w:hint="eastAsia" w:ascii="Times New Roman" w:hAnsi="Times New Roman" w:eastAsia="仿宋_GB2312" w:cs="仿宋_GB2312"/>
          <w:caps w:val="0"/>
          <w:strike w:val="0"/>
          <w:dstrike w:val="0"/>
          <w:sz w:val="32"/>
          <w:szCs w:val="32"/>
          <w:lang w:val="en-US" w:eastAsia="zh-CN"/>
        </w:rPr>
        <w:t>7.定点医药机构相关人员记分恢复申请书</w:t>
      </w:r>
    </w:p>
    <w:p w14:paraId="2197DF8C">
      <w:pPr>
        <w:rPr>
          <w:rFonts w:hint="default" w:ascii="Times New Roman" w:hAnsi="Times New Roman" w:eastAsia="仿宋_GB2312" w:cs="仿宋_GB2312"/>
          <w:caps w:val="0"/>
          <w:strike w:val="0"/>
          <w:dstrike w:val="0"/>
          <w:sz w:val="32"/>
          <w:szCs w:val="32"/>
          <w:lang w:val="en-US" w:eastAsia="zh-CN"/>
        </w:rPr>
      </w:pPr>
      <w:r>
        <w:rPr>
          <w:rFonts w:hint="default" w:ascii="Times New Roman" w:hAnsi="Times New Roman" w:eastAsia="仿宋_GB2312" w:cs="仿宋_GB2312"/>
          <w:caps w:val="0"/>
          <w:strike w:val="0"/>
          <w:dstrike w:val="0"/>
          <w:sz w:val="32"/>
          <w:szCs w:val="32"/>
          <w:lang w:val="en-US" w:eastAsia="zh-CN"/>
        </w:rPr>
        <w:br w:type="page"/>
      </w:r>
    </w:p>
    <w:p w14:paraId="7D7F6AFD">
      <w:pPr>
        <w:pStyle w:val="2"/>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hint="eastAsia" w:ascii="黑体" w:hAnsi="黑体" w:eastAsia="黑体" w:cs="黑体"/>
          <w:caps w:val="0"/>
          <w:strike w:val="0"/>
          <w:dstrike w:val="0"/>
          <w:kern w:val="2"/>
          <w:sz w:val="32"/>
          <w:szCs w:val="32"/>
          <w:lang w:val="en-US" w:eastAsia="zh-CN" w:bidi="ar-SA"/>
        </w:rPr>
      </w:pPr>
      <w:r>
        <w:rPr>
          <w:rFonts w:hint="eastAsia" w:ascii="黑体" w:hAnsi="黑体" w:eastAsia="黑体" w:cs="黑体"/>
          <w:caps w:val="0"/>
          <w:strike w:val="0"/>
          <w:dstrike w:val="0"/>
          <w:kern w:val="2"/>
          <w:sz w:val="32"/>
          <w:szCs w:val="32"/>
          <w:lang w:val="en-US" w:eastAsia="zh-CN" w:bidi="ar-SA"/>
        </w:rPr>
        <w:t>附件1</w:t>
      </w:r>
    </w:p>
    <w:p w14:paraId="2529311C">
      <w:pPr>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ascii="Times New Roman" w:hAnsi="Times New Roman"/>
          <w:caps w:val="0"/>
          <w:sz w:val="21"/>
        </w:rPr>
      </w:pPr>
    </w:p>
    <w:p w14:paraId="593E3CF3">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简体" w:cs="方正小标宋简体"/>
          <w:caps w:val="0"/>
          <w:sz w:val="44"/>
          <w:szCs w:val="44"/>
          <w:lang w:eastAsia="zh-CN"/>
        </w:rPr>
      </w:pPr>
      <w:r>
        <w:rPr>
          <w:rFonts w:hint="eastAsia" w:ascii="Times New Roman" w:hAnsi="Times New Roman" w:eastAsia="方正小标宋简体" w:cs="方正小标宋简体"/>
          <w:caps w:val="0"/>
          <w:sz w:val="44"/>
          <w:szCs w:val="44"/>
          <w:lang w:eastAsia="zh-CN"/>
        </w:rPr>
        <w:t>定点医药机构相关人员承诺书</w:t>
      </w:r>
    </w:p>
    <w:p w14:paraId="2418D273">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楷体_GB2312" w:cs="楷体_GB2312"/>
          <w:caps w:val="0"/>
          <w:sz w:val="32"/>
          <w:szCs w:val="32"/>
          <w:lang w:eastAsia="zh-CN"/>
        </w:rPr>
      </w:pPr>
      <w:r>
        <w:rPr>
          <w:rFonts w:hint="eastAsia" w:ascii="Times New Roman" w:hAnsi="Times New Roman" w:eastAsia="楷体_GB2312" w:cs="楷体_GB2312"/>
          <w:caps w:val="0"/>
          <w:sz w:val="32"/>
          <w:szCs w:val="32"/>
          <w:lang w:eastAsia="zh-CN"/>
        </w:rPr>
        <w:t>（参考样式）</w:t>
      </w:r>
    </w:p>
    <w:p w14:paraId="5776F12D">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Times New Roman" w:hAnsi="Times New Roman"/>
          <w:caps w:val="0"/>
          <w:sz w:val="21"/>
        </w:rPr>
      </w:pPr>
    </w:p>
    <w:p w14:paraId="17A56AAB">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28"/>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本人</w:t>
      </w:r>
      <w:r>
        <w:rPr>
          <w:rFonts w:hint="eastAsia" w:ascii="Times New Roman" w:hAnsi="Times New Roman" w:eastAsia="仿宋_GB2312" w:cs="仿宋_GB2312"/>
          <w:caps w:val="0"/>
          <w:strike w:val="0"/>
          <w:dstrike w:val="0"/>
          <w:kern w:val="2"/>
          <w:sz w:val="32"/>
          <w:szCs w:val="32"/>
          <w:u w:val="single"/>
          <w:lang w:val="en-US" w:eastAsia="zh-CN" w:bidi="ar-SA"/>
        </w:rPr>
        <w:t xml:space="preserve">       </w:t>
      </w:r>
      <w:r>
        <w:rPr>
          <w:rFonts w:hint="eastAsia" w:ascii="Times New Roman" w:hAnsi="Times New Roman" w:eastAsia="仿宋_GB2312" w:cs="仿宋_GB2312"/>
          <w:caps w:val="0"/>
          <w:strike w:val="0"/>
          <w:dstrike w:val="0"/>
          <w:kern w:val="2"/>
          <w:sz w:val="32"/>
          <w:szCs w:val="32"/>
          <w:lang w:val="en-US" w:eastAsia="zh-CN" w:bidi="ar-SA"/>
        </w:rPr>
        <w:t>，身份证号码</w:t>
      </w:r>
      <w:r>
        <w:rPr>
          <w:rFonts w:hint="eastAsia" w:ascii="Times New Roman" w:hAnsi="Times New Roman" w:eastAsia="仿宋_GB2312" w:cs="仿宋_GB2312"/>
          <w:caps w:val="0"/>
          <w:strike w:val="0"/>
          <w:dstrike w:val="0"/>
          <w:kern w:val="2"/>
          <w:sz w:val="32"/>
          <w:szCs w:val="32"/>
          <w:u w:val="single"/>
          <w:lang w:val="en-US" w:eastAsia="zh-CN" w:bidi="ar-SA"/>
        </w:rPr>
        <w:t xml:space="preserve">                    </w:t>
      </w:r>
      <w:r>
        <w:rPr>
          <w:rFonts w:hint="eastAsia" w:ascii="Times New Roman" w:hAnsi="Times New Roman" w:eastAsia="仿宋_GB2312" w:cs="仿宋_GB2312"/>
          <w:caps w:val="0"/>
          <w:strike w:val="0"/>
          <w:dstrike w:val="0"/>
          <w:kern w:val="2"/>
          <w:sz w:val="32"/>
          <w:szCs w:val="32"/>
          <w:lang w:val="en-US" w:eastAsia="zh-CN" w:bidi="ar-SA"/>
        </w:rPr>
        <w:t>，严格遵守相关法律法规规定，认真落实定点医药机构相关人员医保支付资格管理要求，履职尽责，郑重作出以下承诺:</w:t>
      </w:r>
    </w:p>
    <w:p w14:paraId="12F1C5D0">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1.严格遵守《中华人民共和国医师法》《医疗保障基金使用监督管理条例》（国务院令第735号）、《医疗机构医疗保障定点管理暂行办法》（国家医疗保障局令第2号）、《零售药店医疗保障定点管理暂行办法》（国家医疗保障局令第3号）、《关于建立定点医药机构相关人员医保支付资格管理制度的指导意见》《医疗保障定点医药机构相关人员医保支付资格管理经办规程（试行）》《山东省定点医药机构相关人员医保支付资格管理实施细则（试行）》等法律法规和政策规定；</w:t>
      </w:r>
    </w:p>
    <w:p w14:paraId="2A88833F">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2.严格执行医疗保障政策，诚信履行医保服务协议，坚决维护医保基金安全；</w:t>
      </w:r>
    </w:p>
    <w:p w14:paraId="6349366F">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3.确保提供的所有资料或信息均合法、真实、有效，并对所</w:t>
      </w:r>
    </w:p>
    <w:p w14:paraId="435B7FD3">
      <w:pPr>
        <w:pStyle w:val="2"/>
        <w:keepNext w:val="0"/>
        <w:keepLines w:val="0"/>
        <w:pageBreakBefore w:val="0"/>
        <w:widowControl w:val="0"/>
        <w:kinsoku/>
        <w:wordWrap/>
        <w:overflowPunct/>
        <w:topLinePunct w:val="0"/>
        <w:autoSpaceDE/>
        <w:autoSpaceDN/>
        <w:bidi w:val="0"/>
        <w:adjustRightInd/>
        <w:snapToGrid/>
        <w:spacing w:line="570" w:lineRule="exact"/>
        <w:ind w:left="0" w:right="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提供资料的真实性负责；</w:t>
      </w:r>
    </w:p>
    <w:p w14:paraId="48F6B2B2">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4.自愿接受医保专业知识培训；</w:t>
      </w:r>
    </w:p>
    <w:p w14:paraId="39A2B7E5">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5.自愿接受医疗保障行政部门和医疗保障经办机构依法依规开展的监督检查；</w:t>
      </w:r>
    </w:p>
    <w:p w14:paraId="4E2E29E3">
      <w:pPr>
        <w:keepNext w:val="0"/>
        <w:keepLines w:val="0"/>
        <w:pageBreakBefore w:val="0"/>
        <w:widowControl w:val="0"/>
        <w:kinsoku/>
        <w:wordWrap/>
        <w:overflowPunct/>
        <w:topLinePunct w:val="0"/>
        <w:autoSpaceDE/>
        <w:autoSpaceDN/>
        <w:bidi w:val="0"/>
        <w:adjustRightInd/>
        <w:snapToGrid/>
        <w:spacing w:line="570" w:lineRule="exact"/>
        <w:ind w:left="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 xml:space="preserve">    6.自觉接受其他行政部门、行业组织、社会公众、新闻舆论</w:t>
      </w:r>
    </w:p>
    <w:p w14:paraId="668977E4">
      <w:pPr>
        <w:pStyle w:val="2"/>
        <w:keepNext w:val="0"/>
        <w:keepLines w:val="0"/>
        <w:pageBreakBefore w:val="0"/>
        <w:widowControl w:val="0"/>
        <w:kinsoku/>
        <w:wordWrap/>
        <w:overflowPunct/>
        <w:topLinePunct w:val="0"/>
        <w:autoSpaceDE/>
        <w:autoSpaceDN/>
        <w:bidi w:val="0"/>
        <w:adjustRightInd/>
        <w:snapToGrid/>
        <w:spacing w:line="570" w:lineRule="exact"/>
        <w:ind w:left="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的监督；</w:t>
      </w:r>
    </w:p>
    <w:p w14:paraId="3B2AF849">
      <w:pPr>
        <w:pStyle w:val="2"/>
        <w:keepNext w:val="0"/>
        <w:keepLines w:val="0"/>
        <w:pageBreakBefore w:val="0"/>
        <w:widowControl w:val="0"/>
        <w:kinsoku/>
        <w:wordWrap/>
        <w:overflowPunct/>
        <w:topLinePunct w:val="0"/>
        <w:autoSpaceDE/>
        <w:autoSpaceDN/>
        <w:bidi w:val="0"/>
        <w:adjustRightInd/>
        <w:snapToGrid/>
        <w:spacing w:line="570" w:lineRule="exact"/>
        <w:ind w:left="0" w:firstLine="616"/>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7.发生违反医保法律法规、政策规定及服务协议相关行为，依照相关规定接受医疗保障部门给予的记分与处理，并依法依规承担相应责任。</w:t>
      </w:r>
    </w:p>
    <w:p w14:paraId="398D0D43">
      <w:pPr>
        <w:pStyle w:val="2"/>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若违反上述承诺，自愿接受处理。</w:t>
      </w:r>
    </w:p>
    <w:p w14:paraId="1D804797">
      <w:pPr>
        <w:keepNext w:val="0"/>
        <w:keepLines w:val="0"/>
        <w:pageBreakBefore w:val="0"/>
        <w:widowControl w:val="0"/>
        <w:kinsoku/>
        <w:wordWrap/>
        <w:overflowPunct/>
        <w:topLinePunct w:val="0"/>
        <w:autoSpaceDE/>
        <w:autoSpaceDN/>
        <w:bidi w:val="0"/>
        <w:adjustRightInd/>
        <w:snapToGrid/>
        <w:spacing w:line="570" w:lineRule="exact"/>
        <w:ind w:left="0"/>
        <w:jc w:val="both"/>
        <w:textAlignment w:val="auto"/>
        <w:rPr>
          <w:rFonts w:hint="eastAsia" w:ascii="Times New Roman" w:hAnsi="Times New Roman" w:eastAsia="仿宋_GB2312" w:cs="仿宋_GB2312"/>
          <w:caps w:val="0"/>
          <w:strike w:val="0"/>
          <w:dstrike w:val="0"/>
          <w:kern w:val="2"/>
          <w:sz w:val="32"/>
          <w:szCs w:val="32"/>
          <w:lang w:val="en-US" w:eastAsia="zh-CN" w:bidi="ar-SA"/>
        </w:rPr>
      </w:pPr>
    </w:p>
    <w:p w14:paraId="1DE6E044">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hint="eastAsia" w:ascii="Times New Roman" w:hAnsi="Times New Roman" w:eastAsia="仿宋_GB2312" w:cs="仿宋_GB2312"/>
          <w:caps w:val="0"/>
          <w:strike w:val="0"/>
          <w:dstrike w:val="0"/>
          <w:kern w:val="2"/>
          <w:sz w:val="32"/>
          <w:szCs w:val="32"/>
          <w:lang w:val="en-US" w:eastAsia="zh-CN" w:bidi="ar-SA"/>
        </w:rPr>
      </w:pPr>
    </w:p>
    <w:p w14:paraId="756094BA">
      <w:pPr>
        <w:pStyle w:val="2"/>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承诺人（签字） :</w:t>
      </w:r>
    </w:p>
    <w:p w14:paraId="465AB2D6">
      <w:pPr>
        <w:pStyle w:val="2"/>
        <w:keepNext w:val="0"/>
        <w:keepLines w:val="0"/>
        <w:pageBreakBefore w:val="0"/>
        <w:widowControl w:val="0"/>
        <w:kinsoku/>
        <w:wordWrap/>
        <w:overflowPunct/>
        <w:topLinePunct w:val="0"/>
        <w:autoSpaceDE/>
        <w:autoSpaceDN/>
        <w:bidi w:val="0"/>
        <w:adjustRightInd/>
        <w:snapToGrid/>
        <w:spacing w:line="570" w:lineRule="exact"/>
        <w:ind w:left="0" w:firstLine="5440" w:firstLineChars="1700"/>
        <w:textAlignment w:val="auto"/>
        <w:rPr>
          <w:rFonts w:hint="eastAsia" w:ascii="Times New Roman" w:hAnsi="Times New Roman" w:eastAsia="仿宋_GB2312" w:cs="仿宋_GB2312"/>
          <w:caps w:val="0"/>
          <w:strike w:val="0"/>
          <w:dstrike w:val="0"/>
          <w:kern w:val="2"/>
          <w:sz w:val="32"/>
          <w:szCs w:val="32"/>
          <w:lang w:val="en-US" w:eastAsia="zh-CN" w:bidi="ar-SA"/>
        </w:rPr>
      </w:pPr>
    </w:p>
    <w:p w14:paraId="2E5044FE">
      <w:pPr>
        <w:pStyle w:val="2"/>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单位（盖章） :</w:t>
      </w:r>
    </w:p>
    <w:p w14:paraId="24987B01">
      <w:pPr>
        <w:pStyle w:val="2"/>
        <w:keepNext w:val="0"/>
        <w:keepLines w:val="0"/>
        <w:pageBreakBefore w:val="0"/>
        <w:widowControl w:val="0"/>
        <w:kinsoku/>
        <w:wordWrap/>
        <w:overflowPunct/>
        <w:topLinePunct w:val="0"/>
        <w:autoSpaceDE/>
        <w:autoSpaceDN/>
        <w:bidi w:val="0"/>
        <w:adjustRightInd/>
        <w:snapToGrid/>
        <w:spacing w:line="570" w:lineRule="exact"/>
        <w:ind w:left="0" w:firstLine="6080" w:firstLineChars="1900"/>
        <w:textAlignment w:val="auto"/>
        <w:rPr>
          <w:rFonts w:hint="eastAsia" w:ascii="Times New Roman" w:hAnsi="Times New Roman" w:eastAsia="仿宋_GB2312" w:cs="仿宋_GB2312"/>
          <w:caps w:val="0"/>
          <w:strike w:val="0"/>
          <w:dstrike w:val="0"/>
          <w:kern w:val="2"/>
          <w:sz w:val="32"/>
          <w:szCs w:val="32"/>
          <w:lang w:val="en-US" w:eastAsia="zh-CN" w:bidi="ar-SA"/>
        </w:rPr>
      </w:pPr>
    </w:p>
    <w:p w14:paraId="38D56F34">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 xml:space="preserve">                                    年    月     日</w:t>
      </w:r>
    </w:p>
    <w:p w14:paraId="5603F76D">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 xml:space="preserve"> </w:t>
      </w:r>
    </w:p>
    <w:p w14:paraId="7AFEDE6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br w:type="page"/>
      </w:r>
    </w:p>
    <w:p w14:paraId="66E1105D">
      <w:pPr>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hint="eastAsia" w:ascii="黑体" w:hAnsi="黑体" w:eastAsia="黑体" w:cs="黑体"/>
          <w:caps w:val="0"/>
          <w:strike w:val="0"/>
          <w:dstrike w:val="0"/>
          <w:kern w:val="2"/>
          <w:sz w:val="32"/>
          <w:szCs w:val="32"/>
          <w:lang w:val="en-US" w:eastAsia="zh-CN" w:bidi="ar-SA"/>
        </w:rPr>
      </w:pPr>
      <w:r>
        <w:rPr>
          <w:rFonts w:hint="eastAsia" w:ascii="黑体" w:hAnsi="黑体" w:eastAsia="黑体" w:cs="黑体"/>
          <w:caps w:val="0"/>
          <w:strike w:val="0"/>
          <w:dstrike w:val="0"/>
          <w:kern w:val="2"/>
          <w:sz w:val="32"/>
          <w:szCs w:val="32"/>
          <w:lang w:val="en-US" w:eastAsia="zh-CN" w:bidi="ar-SA"/>
        </w:rPr>
        <w:t>附件2</w:t>
      </w:r>
    </w:p>
    <w:p w14:paraId="77369B74">
      <w:pPr>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ascii="Times New Roman" w:hAnsi="Times New Roman"/>
          <w:caps w:val="0"/>
          <w:sz w:val="21"/>
        </w:rPr>
      </w:pPr>
    </w:p>
    <w:p w14:paraId="21A2DDD6">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简体" w:cs="方正小标宋简体"/>
          <w:caps w:val="0"/>
          <w:sz w:val="44"/>
          <w:szCs w:val="44"/>
          <w:lang w:eastAsia="zh-CN"/>
        </w:rPr>
      </w:pPr>
      <w:r>
        <w:rPr>
          <w:rFonts w:hint="eastAsia" w:ascii="Times New Roman" w:hAnsi="Times New Roman" w:eastAsia="方正小标宋简体" w:cs="方正小标宋简体"/>
          <w:caps w:val="0"/>
          <w:sz w:val="44"/>
          <w:szCs w:val="44"/>
          <w:lang w:eastAsia="zh-CN"/>
        </w:rPr>
        <w:t>定点医药机构相关人员集体承诺书</w:t>
      </w:r>
    </w:p>
    <w:p w14:paraId="466F8802">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楷体_GB2312" w:cs="楷体_GB2312"/>
          <w:caps w:val="0"/>
          <w:sz w:val="32"/>
          <w:szCs w:val="32"/>
          <w:lang w:eastAsia="zh-CN"/>
        </w:rPr>
      </w:pPr>
      <w:r>
        <w:rPr>
          <w:rFonts w:hint="eastAsia" w:ascii="Times New Roman" w:hAnsi="Times New Roman" w:eastAsia="楷体_GB2312" w:cs="楷体_GB2312"/>
          <w:caps w:val="0"/>
          <w:sz w:val="32"/>
          <w:szCs w:val="32"/>
          <w:lang w:eastAsia="zh-CN"/>
        </w:rPr>
        <w:t>（参考样式）</w:t>
      </w:r>
    </w:p>
    <w:p w14:paraId="7CB9E3E6">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Times New Roman" w:hAnsi="Times New Roman"/>
          <w:caps w:val="0"/>
          <w:sz w:val="21"/>
        </w:rPr>
      </w:pPr>
    </w:p>
    <w:p w14:paraId="753C2474">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28"/>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u w:val="single"/>
          <w:lang w:val="en-US" w:eastAsia="zh-CN" w:bidi="ar-SA"/>
        </w:rPr>
        <w:t xml:space="preserve">      （机构名称）     </w:t>
      </w:r>
      <w:r>
        <w:rPr>
          <w:rFonts w:hint="eastAsia" w:ascii="Times New Roman" w:hAnsi="Times New Roman" w:eastAsia="仿宋_GB2312" w:cs="仿宋_GB2312"/>
          <w:b w:val="0"/>
          <w:bCs w:val="0"/>
          <w:caps w:val="0"/>
          <w:strike w:val="0"/>
          <w:dstrike w:val="0"/>
          <w:kern w:val="2"/>
          <w:sz w:val="32"/>
          <w:szCs w:val="32"/>
          <w:u w:val="single"/>
          <w:lang w:val="en-US" w:eastAsia="zh-CN" w:bidi="ar-SA"/>
        </w:rPr>
        <w:t xml:space="preserve"> </w:t>
      </w:r>
      <w:r>
        <w:rPr>
          <w:rFonts w:hint="eastAsia" w:ascii="Times New Roman" w:hAnsi="Times New Roman" w:eastAsia="仿宋_GB2312" w:cs="仿宋_GB2312"/>
          <w:b w:val="0"/>
          <w:bCs w:val="0"/>
          <w:caps w:val="0"/>
          <w:strike w:val="0"/>
          <w:dstrike w:val="0"/>
          <w:kern w:val="2"/>
          <w:sz w:val="32"/>
          <w:szCs w:val="32"/>
          <w:lang w:val="en-US" w:eastAsia="zh-CN" w:bidi="ar-SA"/>
        </w:rPr>
        <w:t>全体涉及医保基金使用及管理的相关人员，</w:t>
      </w:r>
      <w:r>
        <w:rPr>
          <w:rFonts w:hint="eastAsia" w:ascii="Times New Roman" w:hAnsi="Times New Roman" w:eastAsia="仿宋_GB2312" w:cs="仿宋_GB2312"/>
          <w:caps w:val="0"/>
          <w:strike w:val="0"/>
          <w:dstrike w:val="0"/>
          <w:kern w:val="2"/>
          <w:sz w:val="32"/>
          <w:szCs w:val="32"/>
          <w:lang w:val="en-US" w:eastAsia="zh-CN" w:bidi="ar-SA"/>
        </w:rPr>
        <w:t>郑重作出集体承诺如下:</w:t>
      </w:r>
    </w:p>
    <w:p w14:paraId="22FECF1A">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1.严格遵守《中华人民共和国医师法》《医疗保障基金使用 监督管理条例》（国务院令第735号）、《医疗机构医疗保障定点管理暂行办法》（国家医疗保障局令第2号）、《零售药店医疗保障定点管理暂行办法》（国家医疗保障局令第3号）、《关于建立定点医药机构相关人员医保支付资格管理制度的指导意见》《医疗保障定点医药机构相关人员医保支付资格管理经办规程（试行）》《山东省定点医药机构相关人员医保支付资格管理实施细则（试行）》等法律法规和政策规定；</w:t>
      </w:r>
    </w:p>
    <w:p w14:paraId="602FBB88">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2.严格执行医疗保障政策，诚信履行医保服务协议，坚决维护医保基金安全；</w:t>
      </w:r>
    </w:p>
    <w:p w14:paraId="1E53AF0E">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3.确保提供的所有资料或信息均合法、真实、有效，并对所</w:t>
      </w:r>
    </w:p>
    <w:p w14:paraId="4614AB74">
      <w:pPr>
        <w:pStyle w:val="2"/>
        <w:keepNext w:val="0"/>
        <w:keepLines w:val="0"/>
        <w:pageBreakBefore w:val="0"/>
        <w:widowControl w:val="0"/>
        <w:kinsoku/>
        <w:wordWrap/>
        <w:overflowPunct/>
        <w:topLinePunct w:val="0"/>
        <w:autoSpaceDE/>
        <w:autoSpaceDN/>
        <w:bidi w:val="0"/>
        <w:adjustRightInd/>
        <w:snapToGrid/>
        <w:spacing w:line="570" w:lineRule="exact"/>
        <w:ind w:left="0" w:right="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提供资料的真实性负责；</w:t>
      </w:r>
    </w:p>
    <w:p w14:paraId="508BECA4">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4.自愿接受医保专业知识培训；</w:t>
      </w:r>
    </w:p>
    <w:p w14:paraId="2CE0C03D">
      <w:pPr>
        <w:pStyle w:val="2"/>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5.自愿接受医疗保障行政部门和医疗保障经办机构依法依规开展的监督检查；</w:t>
      </w:r>
    </w:p>
    <w:p w14:paraId="08BCD8CD">
      <w:pPr>
        <w:keepNext w:val="0"/>
        <w:keepLines w:val="0"/>
        <w:pageBreakBefore w:val="0"/>
        <w:widowControl w:val="0"/>
        <w:kinsoku/>
        <w:wordWrap/>
        <w:overflowPunct/>
        <w:topLinePunct w:val="0"/>
        <w:autoSpaceDE/>
        <w:autoSpaceDN/>
        <w:bidi w:val="0"/>
        <w:adjustRightInd/>
        <w:snapToGrid/>
        <w:spacing w:line="570" w:lineRule="exact"/>
        <w:ind w:left="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 xml:space="preserve">    6.自觉接受其他行政部门、行业组织、社会公众、新闻舆论</w:t>
      </w:r>
    </w:p>
    <w:p w14:paraId="762776EA">
      <w:pPr>
        <w:pStyle w:val="2"/>
        <w:keepNext w:val="0"/>
        <w:keepLines w:val="0"/>
        <w:pageBreakBefore w:val="0"/>
        <w:widowControl w:val="0"/>
        <w:kinsoku/>
        <w:wordWrap/>
        <w:overflowPunct/>
        <w:topLinePunct w:val="0"/>
        <w:autoSpaceDE/>
        <w:autoSpaceDN/>
        <w:bidi w:val="0"/>
        <w:adjustRightInd/>
        <w:snapToGrid/>
        <w:spacing w:line="570" w:lineRule="exact"/>
        <w:ind w:left="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的监督；</w:t>
      </w:r>
    </w:p>
    <w:p w14:paraId="7C30E18B">
      <w:pPr>
        <w:pStyle w:val="2"/>
        <w:keepNext w:val="0"/>
        <w:keepLines w:val="0"/>
        <w:pageBreakBefore w:val="0"/>
        <w:widowControl w:val="0"/>
        <w:kinsoku/>
        <w:wordWrap/>
        <w:overflowPunct/>
        <w:topLinePunct w:val="0"/>
        <w:autoSpaceDE/>
        <w:autoSpaceDN/>
        <w:bidi w:val="0"/>
        <w:adjustRightInd/>
        <w:snapToGrid/>
        <w:spacing w:line="570" w:lineRule="exact"/>
        <w:ind w:left="0" w:firstLine="616"/>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7.发生违反医保法律法规、政策规定及服务协议相关行为，依照相关规定接受医疗保障部门给予的记分与处理，并依法依规承担相应责任。</w:t>
      </w:r>
    </w:p>
    <w:p w14:paraId="1F4EA623">
      <w:pPr>
        <w:pStyle w:val="2"/>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若违反上述承诺，自愿接受处理。</w:t>
      </w:r>
    </w:p>
    <w:p w14:paraId="19CA9E7A">
      <w:pPr>
        <w:keepNext w:val="0"/>
        <w:keepLines w:val="0"/>
        <w:pageBreakBefore w:val="0"/>
        <w:widowControl w:val="0"/>
        <w:kinsoku/>
        <w:wordWrap/>
        <w:overflowPunct/>
        <w:topLinePunct w:val="0"/>
        <w:autoSpaceDE/>
        <w:autoSpaceDN/>
        <w:bidi w:val="0"/>
        <w:adjustRightInd/>
        <w:snapToGrid/>
        <w:spacing w:line="570" w:lineRule="exact"/>
        <w:ind w:left="0"/>
        <w:jc w:val="both"/>
        <w:textAlignment w:val="auto"/>
        <w:rPr>
          <w:rFonts w:hint="eastAsia" w:ascii="Times New Roman" w:hAnsi="Times New Roman" w:eastAsia="仿宋_GB2312" w:cs="仿宋_GB2312"/>
          <w:caps w:val="0"/>
          <w:strike w:val="0"/>
          <w:dstrike w:val="0"/>
          <w:kern w:val="2"/>
          <w:sz w:val="32"/>
          <w:szCs w:val="32"/>
          <w:lang w:val="en-US" w:eastAsia="zh-CN" w:bidi="ar-SA"/>
        </w:rPr>
      </w:pPr>
    </w:p>
    <w:p w14:paraId="58A05690">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hint="eastAsia" w:ascii="Times New Roman" w:hAnsi="Times New Roman" w:eastAsia="仿宋_GB2312" w:cs="仿宋_GB2312"/>
          <w:caps w:val="0"/>
          <w:strike w:val="0"/>
          <w:dstrike w:val="0"/>
          <w:kern w:val="2"/>
          <w:sz w:val="32"/>
          <w:szCs w:val="32"/>
          <w:lang w:val="en-US" w:eastAsia="zh-CN" w:bidi="ar-SA"/>
        </w:rPr>
      </w:pPr>
    </w:p>
    <w:p w14:paraId="45EE987C">
      <w:pPr>
        <w:pStyle w:val="2"/>
        <w:keepNext w:val="0"/>
        <w:keepLines w:val="0"/>
        <w:pageBreakBefore w:val="0"/>
        <w:widowControl w:val="0"/>
        <w:kinsoku/>
        <w:wordWrap/>
        <w:overflowPunct/>
        <w:topLinePunct w:val="0"/>
        <w:autoSpaceDE/>
        <w:autoSpaceDN/>
        <w:bidi w:val="0"/>
        <w:adjustRightInd/>
        <w:snapToGrid/>
        <w:spacing w:line="570" w:lineRule="exact"/>
        <w:ind w:firstLine="4160" w:firstLineChars="1300"/>
        <w:textAlignment w:val="auto"/>
        <w:rPr>
          <w:rFonts w:hint="eastAsia" w:ascii="Times New Roman" w:hAnsi="Times New Roman" w:eastAsia="仿宋_GB2312" w:cs="仿宋_GB2312"/>
          <w:caps w:val="0"/>
          <w:strike w:val="0"/>
          <w:dstrike w:val="0"/>
          <w:kern w:val="2"/>
          <w:sz w:val="32"/>
          <w:szCs w:val="32"/>
          <w:highlight w:val="none"/>
          <w:lang w:val="en-US" w:eastAsia="zh-CN" w:bidi="ar-SA"/>
        </w:rPr>
      </w:pPr>
      <w:r>
        <w:rPr>
          <w:rFonts w:hint="eastAsia" w:ascii="Times New Roman" w:hAnsi="Times New Roman" w:eastAsia="仿宋_GB2312" w:cs="仿宋_GB2312"/>
          <w:caps w:val="0"/>
          <w:strike w:val="0"/>
          <w:dstrike w:val="0"/>
          <w:kern w:val="2"/>
          <w:sz w:val="32"/>
          <w:szCs w:val="32"/>
          <w:highlight w:val="none"/>
          <w:lang w:val="en-US" w:eastAsia="zh-CN" w:bidi="ar-SA"/>
        </w:rPr>
        <w:t>单位负责人 （签字） :</w:t>
      </w:r>
    </w:p>
    <w:p w14:paraId="39FF9BAA">
      <w:pPr>
        <w:pStyle w:val="2"/>
        <w:keepNext w:val="0"/>
        <w:keepLines w:val="0"/>
        <w:pageBreakBefore w:val="0"/>
        <w:widowControl w:val="0"/>
        <w:kinsoku/>
        <w:wordWrap/>
        <w:overflowPunct/>
        <w:topLinePunct w:val="0"/>
        <w:autoSpaceDE/>
        <w:autoSpaceDN/>
        <w:bidi w:val="0"/>
        <w:adjustRightInd/>
        <w:snapToGrid/>
        <w:spacing w:line="570" w:lineRule="exact"/>
        <w:ind w:left="0" w:firstLine="5440" w:firstLineChars="1700"/>
        <w:textAlignment w:val="auto"/>
        <w:rPr>
          <w:rFonts w:hint="eastAsia" w:ascii="Times New Roman" w:hAnsi="Times New Roman" w:eastAsia="仿宋_GB2312" w:cs="仿宋_GB2312"/>
          <w:caps w:val="0"/>
          <w:strike w:val="0"/>
          <w:dstrike w:val="0"/>
          <w:kern w:val="2"/>
          <w:sz w:val="32"/>
          <w:szCs w:val="32"/>
          <w:lang w:val="en-US" w:eastAsia="zh-CN" w:bidi="ar-SA"/>
        </w:rPr>
      </w:pPr>
    </w:p>
    <w:p w14:paraId="1CE5C5FC">
      <w:pPr>
        <w:pStyle w:val="2"/>
        <w:keepNext w:val="0"/>
        <w:keepLines w:val="0"/>
        <w:pageBreakBefore w:val="0"/>
        <w:widowControl w:val="0"/>
        <w:kinsoku/>
        <w:wordWrap/>
        <w:overflowPunct/>
        <w:topLinePunct w:val="0"/>
        <w:autoSpaceDE/>
        <w:autoSpaceDN/>
        <w:bidi w:val="0"/>
        <w:adjustRightInd/>
        <w:snapToGrid/>
        <w:spacing w:line="570" w:lineRule="exact"/>
        <w:ind w:firstLine="4160" w:firstLineChars="13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单位（盖章） :</w:t>
      </w:r>
    </w:p>
    <w:p w14:paraId="41CC31C5">
      <w:pPr>
        <w:pStyle w:val="2"/>
        <w:keepNext w:val="0"/>
        <w:keepLines w:val="0"/>
        <w:pageBreakBefore w:val="0"/>
        <w:widowControl w:val="0"/>
        <w:kinsoku/>
        <w:wordWrap/>
        <w:overflowPunct/>
        <w:topLinePunct w:val="0"/>
        <w:autoSpaceDE/>
        <w:autoSpaceDN/>
        <w:bidi w:val="0"/>
        <w:adjustRightInd/>
        <w:snapToGrid/>
        <w:spacing w:line="570" w:lineRule="exact"/>
        <w:ind w:left="0" w:firstLine="6080" w:firstLineChars="1900"/>
        <w:textAlignment w:val="auto"/>
        <w:rPr>
          <w:rFonts w:hint="eastAsia" w:ascii="Times New Roman" w:hAnsi="Times New Roman" w:eastAsia="仿宋_GB2312" w:cs="仿宋_GB2312"/>
          <w:caps w:val="0"/>
          <w:strike w:val="0"/>
          <w:dstrike w:val="0"/>
          <w:kern w:val="2"/>
          <w:sz w:val="32"/>
          <w:szCs w:val="32"/>
          <w:lang w:val="en-US" w:eastAsia="zh-CN" w:bidi="ar-SA"/>
        </w:rPr>
      </w:pPr>
    </w:p>
    <w:p w14:paraId="56DB6DFA">
      <w:pPr>
        <w:pStyle w:val="2"/>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Times New Roman" w:hAnsi="Times New Roman" w:eastAsia="仿宋_GB2312" w:cs="仿宋_GB2312"/>
          <w:caps w:val="0"/>
          <w:strike w:val="0"/>
          <w:dstrike w:val="0"/>
          <w:kern w:val="2"/>
          <w:sz w:val="32"/>
          <w:szCs w:val="32"/>
          <w:lang w:val="en-US" w:eastAsia="zh-CN" w:bidi="ar-SA"/>
        </w:rPr>
      </w:pPr>
      <w:r>
        <w:rPr>
          <w:rFonts w:hint="eastAsia" w:ascii="Times New Roman" w:hAnsi="Times New Roman" w:eastAsia="仿宋_GB2312" w:cs="仿宋_GB2312"/>
          <w:caps w:val="0"/>
          <w:strike w:val="0"/>
          <w:dstrike w:val="0"/>
          <w:kern w:val="2"/>
          <w:sz w:val="32"/>
          <w:szCs w:val="32"/>
          <w:lang w:val="en-US" w:eastAsia="zh-CN" w:bidi="ar-SA"/>
        </w:rPr>
        <w:t>年    月     日</w:t>
      </w:r>
    </w:p>
    <w:p w14:paraId="633644E2">
      <w:pPr>
        <w:pStyle w:val="2"/>
        <w:keepNext w:val="0"/>
        <w:keepLines w:val="0"/>
        <w:pageBreakBefore w:val="0"/>
        <w:widowControl w:val="0"/>
        <w:kinsoku/>
        <w:wordWrap/>
        <w:overflowPunct/>
        <w:topLinePunct w:val="0"/>
        <w:autoSpaceDE/>
        <w:autoSpaceDN/>
        <w:bidi w:val="0"/>
        <w:adjustRightInd/>
        <w:snapToGrid/>
        <w:spacing w:line="570" w:lineRule="exact"/>
        <w:ind w:left="0" w:firstLine="6080" w:firstLineChars="1900"/>
        <w:textAlignment w:val="auto"/>
        <w:rPr>
          <w:rFonts w:hint="eastAsia" w:ascii="Times New Roman" w:hAnsi="Times New Roman" w:eastAsia="仿宋_GB2312" w:cs="仿宋_GB2312"/>
          <w:caps w:val="0"/>
          <w:strike w:val="0"/>
          <w:dstrike w:val="0"/>
          <w:kern w:val="2"/>
          <w:sz w:val="32"/>
          <w:szCs w:val="32"/>
          <w:lang w:val="en-US" w:eastAsia="zh-CN" w:bidi="ar-SA"/>
        </w:rPr>
      </w:pPr>
    </w:p>
    <w:p w14:paraId="532B3995">
      <w:pPr>
        <w:pStyle w:val="2"/>
        <w:keepNext w:val="0"/>
        <w:keepLines w:val="0"/>
        <w:pageBreakBefore w:val="0"/>
        <w:widowControl w:val="0"/>
        <w:kinsoku/>
        <w:wordWrap/>
        <w:overflowPunct/>
        <w:topLinePunct w:val="0"/>
        <w:autoSpaceDE/>
        <w:autoSpaceDN/>
        <w:bidi w:val="0"/>
        <w:adjustRightInd/>
        <w:snapToGrid/>
        <w:spacing w:line="570" w:lineRule="exact"/>
        <w:ind w:left="0" w:firstLine="6080" w:firstLineChars="1900"/>
        <w:textAlignment w:val="auto"/>
        <w:rPr>
          <w:rFonts w:hint="eastAsia" w:ascii="Times New Roman" w:hAnsi="Times New Roman" w:eastAsia="仿宋_GB2312" w:cs="仿宋_GB2312"/>
          <w:caps w:val="0"/>
          <w:strike w:val="0"/>
          <w:dstrike w:val="0"/>
          <w:kern w:val="2"/>
          <w:sz w:val="32"/>
          <w:szCs w:val="32"/>
          <w:lang w:val="en-US" w:eastAsia="zh-CN" w:bidi="ar-SA"/>
        </w:rPr>
      </w:pPr>
    </w:p>
    <w:p w14:paraId="11004CEE">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hint="default" w:ascii="Times New Roman" w:hAnsi="Times New Roman" w:eastAsia="仿宋_GB2312" w:cs="仿宋_GB2312"/>
          <w:strike w:val="0"/>
          <w:dstrike w:val="0"/>
          <w:kern w:val="2"/>
          <w:sz w:val="32"/>
          <w:szCs w:val="32"/>
          <w:lang w:val="en-US" w:eastAsia="zh-CN" w:bidi="ar-SA"/>
        </w:rPr>
        <w:sectPr>
          <w:footerReference r:id="rId3" w:type="default"/>
          <w:pgSz w:w="11906" w:h="16838"/>
          <w:pgMar w:top="2098" w:right="1474" w:bottom="1531" w:left="1587" w:header="850" w:footer="992" w:gutter="0"/>
          <w:pgNumType w:fmt="decimal"/>
          <w:cols w:space="720" w:num="1"/>
        </w:sectPr>
      </w:pPr>
    </w:p>
    <w:p w14:paraId="4729D196">
      <w:pPr>
        <w:pStyle w:val="2"/>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hint="eastAsia" w:ascii="黑体" w:hAnsi="黑体" w:eastAsia="黑体" w:cs="黑体"/>
          <w:strike w:val="0"/>
          <w:dstrike w:val="0"/>
          <w:kern w:val="2"/>
          <w:sz w:val="32"/>
          <w:szCs w:val="32"/>
          <w:lang w:val="en-US" w:eastAsia="zh-CN" w:bidi="ar-SA"/>
        </w:rPr>
      </w:pPr>
      <w:r>
        <w:rPr>
          <w:rFonts w:hint="eastAsia" w:ascii="黑体" w:hAnsi="黑体" w:eastAsia="黑体" w:cs="黑体"/>
          <w:strike w:val="0"/>
          <w:dstrike w:val="0"/>
          <w:kern w:val="2"/>
          <w:sz w:val="32"/>
          <w:szCs w:val="32"/>
          <w:lang w:val="en-US" w:eastAsia="zh-CN" w:bidi="ar-SA"/>
        </w:rPr>
        <w:t>附件3</w:t>
      </w:r>
    </w:p>
    <w:p w14:paraId="5163F174">
      <w:pPr>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ascii="Arial"/>
          <w:sz w:val="21"/>
        </w:rPr>
      </w:pPr>
    </w:p>
    <w:p w14:paraId="0849AA20">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定点医药机构相关人员登记备案表</w:t>
      </w:r>
    </w:p>
    <w:p w14:paraId="168621C9">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（参考样表）</w:t>
      </w:r>
    </w:p>
    <w:p w14:paraId="0AB4E985">
      <w:pPr>
        <w:keepNext w:val="0"/>
        <w:keepLines w:val="0"/>
        <w:pageBreakBefore w:val="0"/>
        <w:widowControl w:val="0"/>
        <w:kinsoku/>
        <w:wordWrap/>
        <w:overflowPunct/>
        <w:topLinePunct w:val="0"/>
        <w:autoSpaceDE/>
        <w:autoSpaceDN/>
        <w:bidi w:val="0"/>
        <w:adjustRightInd/>
        <w:snapToGrid/>
        <w:spacing w:line="300" w:lineRule="exact"/>
        <w:textAlignment w:val="auto"/>
      </w:pPr>
    </w:p>
    <w:tbl>
      <w:tblPr>
        <w:tblStyle w:val="9"/>
        <w:tblW w:w="8900"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961"/>
        <w:gridCol w:w="1395"/>
        <w:gridCol w:w="837"/>
        <w:gridCol w:w="558"/>
        <w:gridCol w:w="976"/>
        <w:gridCol w:w="418"/>
        <w:gridCol w:w="837"/>
        <w:gridCol w:w="558"/>
        <w:gridCol w:w="1360"/>
      </w:tblGrid>
      <w:tr w14:paraId="4F09AA7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9" w:hRule="atLeast"/>
          <w:jc w:val="center"/>
        </w:trPr>
        <w:tc>
          <w:tcPr>
            <w:tcW w:w="1961" w:type="dxa"/>
            <w:tcBorders>
              <w:top w:val="single" w:color="231F20" w:sz="6" w:space="0"/>
              <w:left w:val="single" w:color="231F20" w:sz="6" w:space="0"/>
            </w:tcBorders>
            <w:vAlign w:val="top"/>
          </w:tcPr>
          <w:p w14:paraId="2849C730">
            <w:pPr>
              <w:pStyle w:val="8"/>
              <w:spacing w:before="266" w:line="204" w:lineRule="auto"/>
              <w:ind w:left="715"/>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姓名</w:t>
            </w:r>
          </w:p>
        </w:tc>
        <w:tc>
          <w:tcPr>
            <w:tcW w:w="2232" w:type="dxa"/>
            <w:gridSpan w:val="2"/>
            <w:tcBorders>
              <w:top w:val="single" w:color="231F20" w:sz="6" w:space="0"/>
            </w:tcBorders>
            <w:vAlign w:val="top"/>
          </w:tcPr>
          <w:p w14:paraId="4B44F1D7">
            <w:pPr>
              <w:rPr>
                <w:rFonts w:hint="eastAsia" w:ascii="Times New Roman" w:hAnsi="Times New Roman" w:eastAsia="黑体" w:cs="黑体"/>
                <w:strike w:val="0"/>
                <w:dstrike w:val="0"/>
                <w:kern w:val="2"/>
                <w:sz w:val="28"/>
                <w:szCs w:val="28"/>
                <w:lang w:val="en-US" w:eastAsia="zh-CN" w:bidi="ar-SA"/>
              </w:rPr>
            </w:pPr>
          </w:p>
        </w:tc>
        <w:tc>
          <w:tcPr>
            <w:tcW w:w="1534" w:type="dxa"/>
            <w:gridSpan w:val="2"/>
            <w:tcBorders>
              <w:top w:val="single" w:color="231F20" w:sz="6" w:space="0"/>
            </w:tcBorders>
            <w:vAlign w:val="top"/>
          </w:tcPr>
          <w:p w14:paraId="293CA4D9">
            <w:pPr>
              <w:pStyle w:val="8"/>
              <w:spacing w:before="266" w:line="204" w:lineRule="auto"/>
              <w:ind w:left="258"/>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医保代码</w:t>
            </w:r>
          </w:p>
        </w:tc>
        <w:tc>
          <w:tcPr>
            <w:tcW w:w="3173" w:type="dxa"/>
            <w:gridSpan w:val="4"/>
            <w:tcBorders>
              <w:top w:val="single" w:color="231F20" w:sz="6" w:space="0"/>
              <w:right w:val="single" w:color="231F20" w:sz="6" w:space="0"/>
            </w:tcBorders>
            <w:vAlign w:val="top"/>
          </w:tcPr>
          <w:p w14:paraId="73972198">
            <w:pPr>
              <w:rPr>
                <w:rFonts w:hint="eastAsia" w:ascii="Times New Roman" w:hAnsi="Times New Roman" w:eastAsia="黑体" w:cs="黑体"/>
                <w:strike w:val="0"/>
                <w:dstrike w:val="0"/>
                <w:kern w:val="2"/>
                <w:sz w:val="28"/>
                <w:szCs w:val="28"/>
                <w:lang w:val="en-US" w:eastAsia="zh-CN" w:bidi="ar-SA"/>
              </w:rPr>
            </w:pPr>
          </w:p>
        </w:tc>
      </w:tr>
      <w:tr w14:paraId="701DB2F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1961" w:type="dxa"/>
            <w:tcBorders>
              <w:left w:val="single" w:color="231F20" w:sz="6" w:space="0"/>
            </w:tcBorders>
            <w:vAlign w:val="top"/>
          </w:tcPr>
          <w:p w14:paraId="068727D0">
            <w:pPr>
              <w:pStyle w:val="8"/>
              <w:spacing w:before="270" w:line="205" w:lineRule="auto"/>
              <w:ind w:left="159"/>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身份证件号码</w:t>
            </w:r>
          </w:p>
        </w:tc>
        <w:tc>
          <w:tcPr>
            <w:tcW w:w="6939" w:type="dxa"/>
            <w:gridSpan w:val="8"/>
            <w:tcBorders>
              <w:right w:val="single" w:color="231F20" w:sz="6" w:space="0"/>
            </w:tcBorders>
            <w:vAlign w:val="top"/>
          </w:tcPr>
          <w:p w14:paraId="17B8F998">
            <w:pPr>
              <w:rPr>
                <w:rFonts w:hint="eastAsia" w:ascii="Times New Roman" w:hAnsi="Times New Roman" w:eastAsia="黑体" w:cs="黑体"/>
                <w:strike w:val="0"/>
                <w:dstrike w:val="0"/>
                <w:kern w:val="2"/>
                <w:sz w:val="28"/>
                <w:szCs w:val="28"/>
                <w:lang w:val="en-US" w:eastAsia="zh-CN" w:bidi="ar-SA"/>
              </w:rPr>
            </w:pPr>
          </w:p>
        </w:tc>
      </w:tr>
      <w:tr w14:paraId="7AE4DCA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2" w:hRule="atLeast"/>
          <w:jc w:val="center"/>
        </w:trPr>
        <w:tc>
          <w:tcPr>
            <w:tcW w:w="1961" w:type="dxa"/>
            <w:tcBorders>
              <w:left w:val="single" w:color="231F20" w:sz="6" w:space="0"/>
            </w:tcBorders>
            <w:vAlign w:val="top"/>
          </w:tcPr>
          <w:p w14:paraId="649BAADF">
            <w:pPr>
              <w:pStyle w:val="8"/>
              <w:spacing w:before="273" w:line="203" w:lineRule="auto"/>
              <w:ind w:left="467"/>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出生日期</w:t>
            </w:r>
          </w:p>
        </w:tc>
        <w:tc>
          <w:tcPr>
            <w:tcW w:w="1395" w:type="dxa"/>
            <w:vAlign w:val="top"/>
          </w:tcPr>
          <w:p w14:paraId="2348589A">
            <w:pPr>
              <w:pStyle w:val="8"/>
              <w:spacing w:before="273" w:line="203" w:lineRule="auto"/>
              <w:ind w:left="434"/>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年  月</w:t>
            </w:r>
          </w:p>
        </w:tc>
        <w:tc>
          <w:tcPr>
            <w:tcW w:w="837" w:type="dxa"/>
            <w:vAlign w:val="top"/>
          </w:tcPr>
          <w:p w14:paraId="0DAF42A0">
            <w:pPr>
              <w:pStyle w:val="8"/>
              <w:spacing w:before="272" w:line="204" w:lineRule="auto"/>
              <w:ind w:left="168"/>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性别</w:t>
            </w:r>
          </w:p>
        </w:tc>
        <w:tc>
          <w:tcPr>
            <w:tcW w:w="1534" w:type="dxa"/>
            <w:gridSpan w:val="2"/>
            <w:vAlign w:val="top"/>
          </w:tcPr>
          <w:p w14:paraId="4E767D54">
            <w:pPr>
              <w:pStyle w:val="8"/>
              <w:spacing w:before="273" w:line="204" w:lineRule="auto"/>
              <w:ind w:left="186"/>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□男 □女</w:t>
            </w:r>
          </w:p>
        </w:tc>
        <w:tc>
          <w:tcPr>
            <w:tcW w:w="1255" w:type="dxa"/>
            <w:gridSpan w:val="2"/>
            <w:vAlign w:val="top"/>
          </w:tcPr>
          <w:p w14:paraId="14C760E4">
            <w:pPr>
              <w:pStyle w:val="8"/>
              <w:spacing w:before="273" w:line="204" w:lineRule="auto"/>
              <w:ind w:left="89"/>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联系电话</w:t>
            </w:r>
          </w:p>
        </w:tc>
        <w:tc>
          <w:tcPr>
            <w:tcW w:w="1918" w:type="dxa"/>
            <w:gridSpan w:val="2"/>
            <w:tcBorders>
              <w:right w:val="single" w:color="231F20" w:sz="6" w:space="0"/>
            </w:tcBorders>
            <w:vAlign w:val="top"/>
          </w:tcPr>
          <w:p w14:paraId="05BA09EB">
            <w:pPr>
              <w:rPr>
                <w:rFonts w:hint="eastAsia" w:ascii="Times New Roman" w:hAnsi="Times New Roman" w:eastAsia="黑体" w:cs="黑体"/>
                <w:strike w:val="0"/>
                <w:dstrike w:val="0"/>
                <w:kern w:val="2"/>
                <w:sz w:val="28"/>
                <w:szCs w:val="28"/>
                <w:lang w:val="en-US" w:eastAsia="zh-CN" w:bidi="ar-SA"/>
              </w:rPr>
            </w:pPr>
          </w:p>
        </w:tc>
      </w:tr>
      <w:tr w14:paraId="43808C5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1961" w:type="dxa"/>
            <w:tcBorders>
              <w:left w:val="single" w:color="231F20" w:sz="6" w:space="0"/>
            </w:tcBorders>
            <w:vAlign w:val="top"/>
          </w:tcPr>
          <w:p w14:paraId="0EA48089">
            <w:pPr>
              <w:pStyle w:val="8"/>
              <w:spacing w:before="273" w:line="204" w:lineRule="auto"/>
              <w:ind w:left="184"/>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医药机构名称</w:t>
            </w:r>
          </w:p>
        </w:tc>
        <w:tc>
          <w:tcPr>
            <w:tcW w:w="6939" w:type="dxa"/>
            <w:gridSpan w:val="8"/>
            <w:tcBorders>
              <w:right w:val="single" w:color="231F20" w:sz="6" w:space="0"/>
            </w:tcBorders>
            <w:vAlign w:val="top"/>
          </w:tcPr>
          <w:p w14:paraId="062AE92C">
            <w:pPr>
              <w:rPr>
                <w:rFonts w:hint="eastAsia" w:ascii="Times New Roman" w:hAnsi="Times New Roman" w:eastAsia="黑体" w:cs="黑体"/>
                <w:strike w:val="0"/>
                <w:dstrike w:val="0"/>
                <w:kern w:val="2"/>
                <w:sz w:val="28"/>
                <w:szCs w:val="28"/>
                <w:lang w:val="en-US" w:eastAsia="zh-CN" w:bidi="ar-SA"/>
              </w:rPr>
            </w:pPr>
          </w:p>
        </w:tc>
      </w:tr>
      <w:tr w14:paraId="1E815F4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2" w:hRule="atLeast"/>
          <w:jc w:val="center"/>
        </w:trPr>
        <w:tc>
          <w:tcPr>
            <w:tcW w:w="1961" w:type="dxa"/>
            <w:tcBorders>
              <w:left w:val="single" w:color="231F20" w:sz="6" w:space="0"/>
            </w:tcBorders>
            <w:vAlign w:val="top"/>
          </w:tcPr>
          <w:p w14:paraId="6A153080">
            <w:pPr>
              <w:pStyle w:val="8"/>
              <w:spacing w:before="276" w:line="204" w:lineRule="auto"/>
              <w:ind w:left="184"/>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医药机构代码</w:t>
            </w:r>
          </w:p>
        </w:tc>
        <w:tc>
          <w:tcPr>
            <w:tcW w:w="6939" w:type="dxa"/>
            <w:gridSpan w:val="8"/>
            <w:tcBorders>
              <w:right w:val="single" w:color="231F20" w:sz="6" w:space="0"/>
            </w:tcBorders>
            <w:vAlign w:val="top"/>
          </w:tcPr>
          <w:p w14:paraId="44165C4B">
            <w:pPr>
              <w:rPr>
                <w:rFonts w:hint="eastAsia" w:ascii="Times New Roman" w:hAnsi="Times New Roman" w:eastAsia="黑体" w:cs="黑体"/>
                <w:strike w:val="0"/>
                <w:dstrike w:val="0"/>
                <w:kern w:val="2"/>
                <w:sz w:val="28"/>
                <w:szCs w:val="28"/>
                <w:lang w:val="en-US" w:eastAsia="zh-CN" w:bidi="ar-SA"/>
              </w:rPr>
            </w:pPr>
          </w:p>
        </w:tc>
      </w:tr>
      <w:tr w14:paraId="5150A91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2" w:hRule="atLeast"/>
          <w:jc w:val="center"/>
        </w:trPr>
        <w:tc>
          <w:tcPr>
            <w:tcW w:w="1961" w:type="dxa"/>
            <w:tcBorders>
              <w:left w:val="single" w:color="231F20" w:sz="6" w:space="0"/>
            </w:tcBorders>
            <w:vAlign w:val="top"/>
          </w:tcPr>
          <w:p w14:paraId="2AE1B3CA">
            <w:pPr>
              <w:pStyle w:val="8"/>
              <w:spacing w:before="278" w:line="204" w:lineRule="auto"/>
              <w:ind w:left="463"/>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医保区划</w:t>
            </w:r>
          </w:p>
        </w:tc>
        <w:tc>
          <w:tcPr>
            <w:tcW w:w="1395" w:type="dxa"/>
            <w:vAlign w:val="top"/>
          </w:tcPr>
          <w:p w14:paraId="13F3E62F">
            <w:pPr>
              <w:rPr>
                <w:rFonts w:hint="eastAsia" w:ascii="Times New Roman" w:hAnsi="Times New Roman" w:eastAsia="黑体" w:cs="黑体"/>
                <w:strike w:val="0"/>
                <w:dstrike w:val="0"/>
                <w:kern w:val="2"/>
                <w:sz w:val="28"/>
                <w:szCs w:val="28"/>
                <w:lang w:val="en-US" w:eastAsia="zh-CN" w:bidi="ar-SA"/>
              </w:rPr>
            </w:pPr>
          </w:p>
        </w:tc>
        <w:tc>
          <w:tcPr>
            <w:tcW w:w="1395" w:type="dxa"/>
            <w:gridSpan w:val="2"/>
            <w:vAlign w:val="top"/>
          </w:tcPr>
          <w:p w14:paraId="640E79A7">
            <w:pPr>
              <w:pStyle w:val="8"/>
              <w:spacing w:before="278" w:line="203" w:lineRule="auto"/>
              <w:ind w:left="158"/>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执业类型</w:t>
            </w:r>
          </w:p>
        </w:tc>
        <w:tc>
          <w:tcPr>
            <w:tcW w:w="1394" w:type="dxa"/>
            <w:gridSpan w:val="2"/>
            <w:vAlign w:val="top"/>
          </w:tcPr>
          <w:p w14:paraId="5AB3B931">
            <w:pPr>
              <w:rPr>
                <w:rFonts w:hint="eastAsia" w:ascii="Times New Roman" w:hAnsi="Times New Roman" w:eastAsia="黑体" w:cs="黑体"/>
                <w:strike w:val="0"/>
                <w:dstrike w:val="0"/>
                <w:kern w:val="2"/>
                <w:sz w:val="28"/>
                <w:szCs w:val="28"/>
                <w:lang w:val="en-US" w:eastAsia="zh-CN" w:bidi="ar-SA"/>
              </w:rPr>
            </w:pPr>
          </w:p>
        </w:tc>
        <w:tc>
          <w:tcPr>
            <w:tcW w:w="1395" w:type="dxa"/>
            <w:gridSpan w:val="2"/>
            <w:vAlign w:val="top"/>
          </w:tcPr>
          <w:p w14:paraId="1060839C">
            <w:pPr>
              <w:pStyle w:val="8"/>
              <w:spacing w:before="278" w:line="203" w:lineRule="auto"/>
              <w:ind w:left="163"/>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执业类别</w:t>
            </w:r>
          </w:p>
        </w:tc>
        <w:tc>
          <w:tcPr>
            <w:tcW w:w="1360" w:type="dxa"/>
            <w:tcBorders>
              <w:right w:val="single" w:color="231F20" w:sz="6" w:space="0"/>
            </w:tcBorders>
            <w:vAlign w:val="top"/>
          </w:tcPr>
          <w:p w14:paraId="02DEB6F1">
            <w:pPr>
              <w:rPr>
                <w:rFonts w:hint="eastAsia" w:ascii="Times New Roman" w:hAnsi="Times New Roman" w:eastAsia="黑体" w:cs="黑体"/>
                <w:strike w:val="0"/>
                <w:dstrike w:val="0"/>
                <w:kern w:val="2"/>
                <w:sz w:val="28"/>
                <w:szCs w:val="28"/>
                <w:lang w:val="en-US" w:eastAsia="zh-CN" w:bidi="ar-SA"/>
              </w:rPr>
            </w:pPr>
          </w:p>
        </w:tc>
      </w:tr>
      <w:tr w14:paraId="277732D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2" w:hRule="atLeast"/>
          <w:jc w:val="center"/>
        </w:trPr>
        <w:tc>
          <w:tcPr>
            <w:tcW w:w="1961" w:type="dxa"/>
            <w:tcBorders>
              <w:left w:val="single" w:color="231F20" w:sz="6" w:space="0"/>
            </w:tcBorders>
            <w:vAlign w:val="top"/>
          </w:tcPr>
          <w:p w14:paraId="3776EACB">
            <w:pPr>
              <w:pStyle w:val="8"/>
              <w:spacing w:before="280" w:line="204" w:lineRule="auto"/>
              <w:ind w:left="435"/>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执业范围</w:t>
            </w:r>
          </w:p>
        </w:tc>
        <w:tc>
          <w:tcPr>
            <w:tcW w:w="2232" w:type="dxa"/>
            <w:gridSpan w:val="2"/>
            <w:vAlign w:val="top"/>
          </w:tcPr>
          <w:p w14:paraId="74C8A468">
            <w:pPr>
              <w:rPr>
                <w:rFonts w:hint="eastAsia" w:ascii="Times New Roman" w:hAnsi="Times New Roman" w:eastAsia="黑体" w:cs="黑体"/>
                <w:strike w:val="0"/>
                <w:dstrike w:val="0"/>
                <w:kern w:val="2"/>
                <w:sz w:val="28"/>
                <w:szCs w:val="28"/>
                <w:lang w:val="en-US" w:eastAsia="zh-CN" w:bidi="ar-SA"/>
              </w:rPr>
            </w:pPr>
          </w:p>
        </w:tc>
        <w:tc>
          <w:tcPr>
            <w:tcW w:w="1952" w:type="dxa"/>
            <w:gridSpan w:val="3"/>
            <w:vAlign w:val="top"/>
          </w:tcPr>
          <w:p w14:paraId="436016D0">
            <w:pPr>
              <w:pStyle w:val="8"/>
              <w:spacing w:before="280" w:line="203" w:lineRule="auto"/>
              <w:ind w:left="163"/>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专业技术职务</w:t>
            </w:r>
          </w:p>
        </w:tc>
        <w:tc>
          <w:tcPr>
            <w:tcW w:w="2755" w:type="dxa"/>
            <w:gridSpan w:val="3"/>
            <w:tcBorders>
              <w:right w:val="single" w:color="231F20" w:sz="6" w:space="0"/>
            </w:tcBorders>
            <w:vAlign w:val="top"/>
          </w:tcPr>
          <w:p w14:paraId="236215F9">
            <w:pPr>
              <w:rPr>
                <w:rFonts w:hint="eastAsia" w:ascii="Times New Roman" w:hAnsi="Times New Roman" w:eastAsia="黑体" w:cs="黑体"/>
                <w:strike w:val="0"/>
                <w:dstrike w:val="0"/>
                <w:kern w:val="2"/>
                <w:sz w:val="28"/>
                <w:szCs w:val="28"/>
                <w:lang w:val="en-US" w:eastAsia="zh-CN" w:bidi="ar-SA"/>
              </w:rPr>
            </w:pPr>
          </w:p>
        </w:tc>
      </w:tr>
      <w:tr w14:paraId="2102450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2" w:hRule="atLeast"/>
          <w:jc w:val="center"/>
        </w:trPr>
        <w:tc>
          <w:tcPr>
            <w:tcW w:w="1961" w:type="dxa"/>
            <w:tcBorders>
              <w:left w:val="single" w:color="231F20" w:sz="6" w:space="0"/>
            </w:tcBorders>
            <w:vAlign w:val="top"/>
          </w:tcPr>
          <w:p w14:paraId="5256BDE8">
            <w:pPr>
              <w:pStyle w:val="8"/>
              <w:spacing w:before="280" w:line="204" w:lineRule="auto"/>
              <w:ind w:left="155"/>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登记备案状态</w:t>
            </w:r>
          </w:p>
        </w:tc>
        <w:tc>
          <w:tcPr>
            <w:tcW w:w="6939" w:type="dxa"/>
            <w:gridSpan w:val="8"/>
            <w:tcBorders>
              <w:right w:val="single" w:color="231F20" w:sz="6" w:space="0"/>
            </w:tcBorders>
            <w:vAlign w:val="top"/>
          </w:tcPr>
          <w:p w14:paraId="256F2E86">
            <w:pPr>
              <w:pStyle w:val="8"/>
              <w:spacing w:before="281" w:line="204" w:lineRule="auto"/>
              <w:ind w:left="1954"/>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□正常    □暂停    □终止</w:t>
            </w:r>
          </w:p>
        </w:tc>
      </w:tr>
      <w:tr w14:paraId="3F0FDAC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9" w:hRule="atLeast"/>
          <w:jc w:val="center"/>
        </w:trPr>
        <w:tc>
          <w:tcPr>
            <w:tcW w:w="1961" w:type="dxa"/>
            <w:tcBorders>
              <w:left w:val="single" w:color="231F20" w:sz="6" w:space="0"/>
              <w:bottom w:val="single" w:color="231F20" w:sz="6" w:space="0"/>
            </w:tcBorders>
            <w:vAlign w:val="top"/>
          </w:tcPr>
          <w:p w14:paraId="7AD9843D">
            <w:pPr>
              <w:pStyle w:val="8"/>
              <w:spacing w:before="282" w:line="203" w:lineRule="auto"/>
              <w:ind w:left="435"/>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服务承诺</w:t>
            </w:r>
          </w:p>
        </w:tc>
        <w:tc>
          <w:tcPr>
            <w:tcW w:w="6939" w:type="dxa"/>
            <w:gridSpan w:val="8"/>
            <w:tcBorders>
              <w:bottom w:val="single" w:color="231F20" w:sz="6" w:space="0"/>
              <w:right w:val="single" w:color="231F20" w:sz="6" w:space="0"/>
            </w:tcBorders>
            <w:vAlign w:val="top"/>
          </w:tcPr>
          <w:p w14:paraId="6D7F6C8F">
            <w:pPr>
              <w:pStyle w:val="8"/>
              <w:spacing w:before="282" w:line="198" w:lineRule="auto"/>
              <w:ind w:firstLine="280" w:firstLineChars="100"/>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签订定点医药机构相关人员承诺书    □是    □否</w:t>
            </w:r>
          </w:p>
        </w:tc>
      </w:tr>
    </w:tbl>
    <w:p w14:paraId="570194F0">
      <w:pPr>
        <w:rPr>
          <w:rFonts w:ascii="Arial"/>
          <w:sz w:val="21"/>
        </w:rPr>
      </w:pPr>
    </w:p>
    <w:p w14:paraId="4B4B8543">
      <w:pPr>
        <w:rPr>
          <w:rFonts w:ascii="Arial" w:hAnsi="Arial" w:eastAsia="Arial" w:cs="Arial"/>
          <w:sz w:val="21"/>
          <w:szCs w:val="21"/>
        </w:rPr>
        <w:sectPr>
          <w:footerReference r:id="rId4" w:type="default"/>
          <w:pgSz w:w="11906" w:h="16838"/>
          <w:pgMar w:top="2098" w:right="1474" w:bottom="1531" w:left="1587" w:header="850" w:footer="992" w:gutter="0"/>
          <w:pgNumType w:fmt="decimal"/>
          <w:cols w:space="720" w:num="1"/>
        </w:sectPr>
      </w:pPr>
    </w:p>
    <w:p w14:paraId="274BBBEA">
      <w:pPr>
        <w:pStyle w:val="2"/>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hint="eastAsia" w:ascii="黑体" w:hAnsi="黑体" w:eastAsia="黑体" w:cs="黑体"/>
          <w:strike w:val="0"/>
          <w:dstrike w:val="0"/>
          <w:kern w:val="2"/>
          <w:sz w:val="32"/>
          <w:szCs w:val="32"/>
          <w:lang w:val="en-US" w:eastAsia="zh-CN" w:bidi="ar-SA"/>
        </w:rPr>
      </w:pPr>
      <w:r>
        <w:rPr>
          <w:rFonts w:hint="eastAsia" w:ascii="黑体" w:hAnsi="黑体" w:eastAsia="黑体" w:cs="黑体"/>
          <w:strike w:val="0"/>
          <w:dstrike w:val="0"/>
          <w:kern w:val="2"/>
          <w:sz w:val="32"/>
          <w:szCs w:val="32"/>
          <w:lang w:val="en-US" w:eastAsia="zh-CN" w:bidi="ar-SA"/>
        </w:rPr>
        <w:t>附件4</w:t>
      </w:r>
    </w:p>
    <w:p w14:paraId="617B9FC9">
      <w:pPr>
        <w:spacing w:line="302" w:lineRule="auto"/>
        <w:jc w:val="both"/>
        <w:rPr>
          <w:rFonts w:ascii="Arial"/>
          <w:sz w:val="21"/>
        </w:rPr>
      </w:pPr>
    </w:p>
    <w:p w14:paraId="0F9BDF5C">
      <w:pPr>
        <w:pStyle w:val="2"/>
        <w:spacing w:before="126" w:line="195" w:lineRule="auto"/>
        <w:jc w:val="center"/>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定点医药机构相关人员医保支付资格处理</w:t>
      </w:r>
    </w:p>
    <w:p w14:paraId="7A42246F">
      <w:pPr>
        <w:pStyle w:val="2"/>
        <w:spacing w:before="126" w:line="195" w:lineRule="auto"/>
        <w:jc w:val="center"/>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通知书</w:t>
      </w:r>
    </w:p>
    <w:p w14:paraId="54591634">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（参考样式）</w:t>
      </w:r>
    </w:p>
    <w:p w14:paraId="321526A3">
      <w:pPr>
        <w:pStyle w:val="2"/>
        <w:spacing w:before="126" w:line="195" w:lineRule="auto"/>
        <w:jc w:val="center"/>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文号：</w:t>
      </w:r>
    </w:p>
    <w:p w14:paraId="7B7274B2">
      <w:pPr>
        <w:pStyle w:val="2"/>
        <w:spacing w:before="112" w:line="198" w:lineRule="auto"/>
        <w:ind w:left="29"/>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定点医药机构名称 :                       </w:t>
      </w:r>
    </w:p>
    <w:tbl>
      <w:tblPr>
        <w:tblStyle w:val="9"/>
        <w:tblW w:w="8900"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263"/>
        <w:gridCol w:w="976"/>
        <w:gridCol w:w="139"/>
        <w:gridCol w:w="1116"/>
        <w:gridCol w:w="1116"/>
        <w:gridCol w:w="418"/>
        <w:gridCol w:w="1116"/>
        <w:gridCol w:w="140"/>
        <w:gridCol w:w="2616"/>
      </w:tblGrid>
      <w:tr w14:paraId="79847CF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9" w:hRule="atLeast"/>
          <w:jc w:val="center"/>
        </w:trPr>
        <w:tc>
          <w:tcPr>
            <w:tcW w:w="1263" w:type="dxa"/>
            <w:tcBorders>
              <w:top w:val="single" w:color="auto" w:sz="4" w:space="0"/>
              <w:left w:val="single" w:color="auto" w:sz="4" w:space="0"/>
              <w:bottom w:val="single" w:color="auto" w:sz="4" w:space="0"/>
            </w:tcBorders>
            <w:vAlign w:val="top"/>
          </w:tcPr>
          <w:p w14:paraId="6F59BDDD">
            <w:pPr>
              <w:pStyle w:val="8"/>
              <w:spacing w:before="266" w:line="204" w:lineRule="auto"/>
              <w:ind w:left="366"/>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姓名</w:t>
            </w:r>
          </w:p>
        </w:tc>
        <w:tc>
          <w:tcPr>
            <w:tcW w:w="1115" w:type="dxa"/>
            <w:gridSpan w:val="2"/>
            <w:tcBorders>
              <w:top w:val="single" w:color="auto" w:sz="4" w:space="0"/>
              <w:bottom w:val="single" w:color="auto" w:sz="4" w:space="0"/>
            </w:tcBorders>
            <w:vAlign w:val="top"/>
          </w:tcPr>
          <w:p w14:paraId="14997543">
            <w:pPr>
              <w:rPr>
                <w:rFonts w:hint="eastAsia" w:ascii="Times New Roman" w:hAnsi="Times New Roman" w:eastAsia="黑体" w:cs="黑体"/>
                <w:strike w:val="0"/>
                <w:dstrike w:val="0"/>
                <w:kern w:val="2"/>
                <w:sz w:val="28"/>
                <w:szCs w:val="28"/>
                <w:lang w:val="en-US" w:eastAsia="zh-CN" w:bidi="ar-SA"/>
              </w:rPr>
            </w:pPr>
          </w:p>
        </w:tc>
        <w:tc>
          <w:tcPr>
            <w:tcW w:w="1116" w:type="dxa"/>
            <w:tcBorders>
              <w:top w:val="single" w:color="auto" w:sz="4" w:space="0"/>
              <w:bottom w:val="single" w:color="auto" w:sz="4" w:space="0"/>
            </w:tcBorders>
            <w:vAlign w:val="top"/>
          </w:tcPr>
          <w:p w14:paraId="37EFC55D">
            <w:pPr>
              <w:pStyle w:val="8"/>
              <w:spacing w:before="265" w:line="204" w:lineRule="auto"/>
              <w:ind w:left="308"/>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性别</w:t>
            </w:r>
          </w:p>
        </w:tc>
        <w:tc>
          <w:tcPr>
            <w:tcW w:w="1116" w:type="dxa"/>
            <w:tcBorders>
              <w:top w:val="single" w:color="auto" w:sz="4" w:space="0"/>
              <w:bottom w:val="single" w:color="auto" w:sz="4" w:space="0"/>
            </w:tcBorders>
            <w:vAlign w:val="top"/>
          </w:tcPr>
          <w:p w14:paraId="5116BA77">
            <w:pPr>
              <w:rPr>
                <w:rFonts w:hint="eastAsia" w:ascii="Times New Roman" w:hAnsi="Times New Roman" w:eastAsia="黑体" w:cs="黑体"/>
                <w:strike w:val="0"/>
                <w:dstrike w:val="0"/>
                <w:kern w:val="2"/>
                <w:sz w:val="28"/>
                <w:szCs w:val="28"/>
                <w:lang w:val="en-US" w:eastAsia="zh-CN" w:bidi="ar-SA"/>
              </w:rPr>
            </w:pPr>
          </w:p>
        </w:tc>
        <w:tc>
          <w:tcPr>
            <w:tcW w:w="1674" w:type="dxa"/>
            <w:gridSpan w:val="3"/>
            <w:tcBorders>
              <w:top w:val="single" w:color="auto" w:sz="4" w:space="0"/>
              <w:bottom w:val="single" w:color="auto" w:sz="4" w:space="0"/>
            </w:tcBorders>
            <w:vAlign w:val="top"/>
          </w:tcPr>
          <w:p w14:paraId="0C0206C8">
            <w:pPr>
              <w:pStyle w:val="8"/>
              <w:spacing w:before="265" w:line="204" w:lineRule="auto"/>
              <w:jc w:val="center"/>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身份证号码</w:t>
            </w:r>
          </w:p>
        </w:tc>
        <w:tc>
          <w:tcPr>
            <w:tcW w:w="2616" w:type="dxa"/>
            <w:tcBorders>
              <w:top w:val="single" w:color="auto" w:sz="4" w:space="0"/>
              <w:bottom w:val="single" w:color="auto" w:sz="4" w:space="0"/>
              <w:right w:val="single" w:color="auto" w:sz="4" w:space="0"/>
            </w:tcBorders>
            <w:vAlign w:val="top"/>
          </w:tcPr>
          <w:p w14:paraId="0A1F588C">
            <w:pPr>
              <w:pStyle w:val="8"/>
              <w:spacing w:before="265" w:line="204" w:lineRule="auto"/>
              <w:ind w:left="308"/>
              <w:rPr>
                <w:rFonts w:hint="eastAsia" w:ascii="Times New Roman" w:hAnsi="Times New Roman" w:eastAsia="黑体" w:cs="黑体"/>
                <w:strike w:val="0"/>
                <w:dstrike w:val="0"/>
                <w:kern w:val="2"/>
                <w:sz w:val="28"/>
                <w:szCs w:val="28"/>
                <w:lang w:val="en-US" w:eastAsia="zh-CN" w:bidi="ar-SA"/>
              </w:rPr>
            </w:pPr>
          </w:p>
        </w:tc>
      </w:tr>
      <w:tr w14:paraId="2F43DB1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3" w:hRule="atLeast"/>
          <w:jc w:val="center"/>
        </w:trPr>
        <w:tc>
          <w:tcPr>
            <w:tcW w:w="1263" w:type="dxa"/>
            <w:tcBorders>
              <w:top w:val="single" w:color="auto" w:sz="4" w:space="0"/>
              <w:left w:val="single" w:color="231F20" w:sz="6" w:space="0"/>
            </w:tcBorders>
            <w:vAlign w:val="top"/>
          </w:tcPr>
          <w:p w14:paraId="7266C5A5">
            <w:pPr>
              <w:pStyle w:val="8"/>
              <w:spacing w:before="131" w:line="203" w:lineRule="auto"/>
              <w:ind w:left="84"/>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违规行为</w:t>
            </w:r>
          </w:p>
        </w:tc>
        <w:tc>
          <w:tcPr>
            <w:tcW w:w="7637" w:type="dxa"/>
            <w:gridSpan w:val="8"/>
            <w:tcBorders>
              <w:top w:val="single" w:color="auto" w:sz="4" w:space="0"/>
              <w:right w:val="single" w:color="231F20" w:sz="6" w:space="0"/>
            </w:tcBorders>
            <w:vAlign w:val="top"/>
          </w:tcPr>
          <w:p w14:paraId="03FA4E80">
            <w:pPr>
              <w:rPr>
                <w:rFonts w:hint="eastAsia" w:ascii="Times New Roman" w:hAnsi="Times New Roman" w:eastAsia="黑体" w:cs="黑体"/>
                <w:strike w:val="0"/>
                <w:dstrike w:val="0"/>
                <w:kern w:val="2"/>
                <w:sz w:val="28"/>
                <w:szCs w:val="28"/>
                <w:lang w:val="en-US" w:eastAsia="zh-CN" w:bidi="ar-SA"/>
              </w:rPr>
            </w:pPr>
          </w:p>
        </w:tc>
      </w:tr>
      <w:tr w14:paraId="03BE360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75" w:hRule="atLeast"/>
          <w:jc w:val="center"/>
        </w:trPr>
        <w:tc>
          <w:tcPr>
            <w:tcW w:w="1263" w:type="dxa"/>
            <w:tcBorders>
              <w:left w:val="single" w:color="231F20" w:sz="6" w:space="0"/>
            </w:tcBorders>
            <w:vAlign w:val="top"/>
          </w:tcPr>
          <w:p w14:paraId="35EEE4B3">
            <w:pPr>
              <w:spacing w:line="257" w:lineRule="auto"/>
              <w:rPr>
                <w:rFonts w:hint="eastAsia" w:ascii="Times New Roman" w:hAnsi="Times New Roman" w:eastAsia="黑体" w:cs="黑体"/>
                <w:strike w:val="0"/>
                <w:dstrike w:val="0"/>
                <w:kern w:val="2"/>
                <w:sz w:val="28"/>
                <w:szCs w:val="28"/>
                <w:lang w:val="en-US" w:eastAsia="zh-CN" w:bidi="ar-SA"/>
              </w:rPr>
            </w:pPr>
          </w:p>
          <w:p w14:paraId="7D24A201">
            <w:pPr>
              <w:pStyle w:val="8"/>
              <w:spacing w:before="111" w:line="201" w:lineRule="auto"/>
              <w:ind w:left="84" w:right="82" w:firstLine="29"/>
              <w:jc w:val="center"/>
              <w:rPr>
                <w:rFonts w:hint="eastAsia" w:ascii="Times New Roman" w:hAnsi="Times New Roman" w:eastAsia="黑体" w:cs="黑体"/>
                <w:strike w:val="0"/>
                <w:dstrike w:val="0"/>
                <w:kern w:val="2"/>
                <w:sz w:val="28"/>
                <w:szCs w:val="28"/>
                <w:lang w:val="en-US" w:eastAsia="zh-CN" w:bidi="ar-SA"/>
              </w:rPr>
            </w:pPr>
          </w:p>
          <w:p w14:paraId="6D818912">
            <w:pPr>
              <w:pStyle w:val="8"/>
              <w:spacing w:before="111" w:line="201" w:lineRule="auto"/>
              <w:ind w:left="84" w:right="82" w:firstLine="29"/>
              <w:jc w:val="center"/>
              <w:rPr>
                <w:rFonts w:hint="eastAsia" w:ascii="Times New Roman" w:hAnsi="Times New Roman" w:eastAsia="黑体" w:cs="黑体"/>
                <w:strike w:val="0"/>
                <w:dstrike w:val="0"/>
                <w:kern w:val="2"/>
                <w:sz w:val="28"/>
                <w:szCs w:val="28"/>
                <w:lang w:val="en-US" w:eastAsia="zh-CN" w:bidi="ar-SA"/>
              </w:rPr>
            </w:pPr>
          </w:p>
          <w:p w14:paraId="0BE0070A">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p w14:paraId="4E741FB8">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p w14:paraId="36143524">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医疗保障经办机构处理意见</w:t>
            </w:r>
          </w:p>
        </w:tc>
        <w:tc>
          <w:tcPr>
            <w:tcW w:w="7637" w:type="dxa"/>
            <w:gridSpan w:val="8"/>
            <w:tcBorders>
              <w:right w:val="single" w:color="231F20" w:sz="6" w:space="0"/>
            </w:tcBorders>
            <w:vAlign w:val="top"/>
          </w:tcPr>
          <w:p w14:paraId="2FC9C18F">
            <w:pPr>
              <w:pStyle w:val="8"/>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default"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依据《山东省定点医药机构相关人员医保支付资格管理实施细则（试行）》有关规定，现对你单位相关人员记分处理如下：</w:t>
            </w:r>
          </w:p>
          <w:p w14:paraId="1ABB739E">
            <w:pPr>
              <w:pStyle w:val="8"/>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本次记</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分，本年度累计记分</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分。</w:t>
            </w:r>
          </w:p>
          <w:p w14:paraId="4180974D">
            <w:pPr>
              <w:pStyle w:val="8"/>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□1.予以提醒谈话一次，望尽快改正。</w:t>
            </w:r>
          </w:p>
          <w:p w14:paraId="4DA2DBCF">
            <w:pPr>
              <w:pStyle w:val="8"/>
              <w:keepNext w:val="0"/>
              <w:keepLines w:val="0"/>
              <w:pageBreakBefore w:val="0"/>
              <w:widowControl w:val="0"/>
              <w:tabs>
                <w:tab w:val="left" w:pos="645"/>
              </w:tabs>
              <w:kinsoku/>
              <w:wordWrap/>
              <w:overflowPunct/>
              <w:topLinePunct w:val="0"/>
              <w:autoSpaceDE/>
              <w:autoSpaceDN/>
              <w:bidi w:val="0"/>
              <w:adjustRightInd/>
              <w:snapToGrid/>
              <w:spacing w:line="240" w:lineRule="auto"/>
              <w:ind w:left="0" w:right="0" w:firstLine="576"/>
              <w:jc w:val="both"/>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□2.予以暂停结算资格</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个月，暂停时间自</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年</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u w:val="single"/>
                <w:lang w:val="en-US" w:eastAsia="zh-CN" w:bidi="ar-SA"/>
              </w:rPr>
              <w:tab/>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月</w:t>
            </w:r>
            <w:r>
              <w:rPr>
                <w:rFonts w:hint="eastAsia" w:ascii="仿宋_GB2312" w:hAnsi="仿宋_GB2312" w:eastAsia="仿宋_GB2312" w:cs="仿宋_GB2312"/>
                <w:strike w:val="0"/>
                <w:dstrike w:val="0"/>
                <w:color w:val="FFFFFF" w:themeColor="background1"/>
                <w:kern w:val="2"/>
                <w:sz w:val="28"/>
                <w:szCs w:val="28"/>
                <w:lang w:val="en-US" w:eastAsia="zh-CN" w:bidi="ar-SA"/>
                <w14:textFill>
                  <w14:solidFill>
                    <w14:schemeClr w14:val="bg1"/>
                  </w14:solidFill>
                </w14:textFill>
              </w:rPr>
              <w:t>1</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日起至</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年</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u w:val="single"/>
                <w:lang w:val="en-US" w:eastAsia="zh-CN" w:bidi="ar-SA"/>
              </w:rPr>
              <w:tab/>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月</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日止。定点医药机构按规定做好相关人员登记备案状态维护。如需恢复，可在暂停期满后向本医疗保障经办机构提出申请。</w:t>
            </w:r>
          </w:p>
          <w:p w14:paraId="5A8BD663">
            <w:pPr>
              <w:pStyle w:val="8"/>
              <w:keepNext w:val="0"/>
              <w:keepLines w:val="0"/>
              <w:pageBreakBefore w:val="0"/>
              <w:widowControl w:val="0"/>
              <w:tabs>
                <w:tab w:val="left" w:pos="645"/>
              </w:tabs>
              <w:kinsoku/>
              <w:wordWrap/>
              <w:overflowPunct/>
              <w:topLinePunct w:val="0"/>
              <w:autoSpaceDE/>
              <w:autoSpaceDN/>
              <w:bidi w:val="0"/>
              <w:adjustRightInd/>
              <w:snapToGrid/>
              <w:spacing w:line="240" w:lineRule="auto"/>
              <w:ind w:left="0" w:right="0" w:firstLine="576"/>
              <w:jc w:val="both"/>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□3.予以终止结算资格</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年，终止时间自</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 xml:space="preserve">年         </w:t>
            </w:r>
            <w:r>
              <w:rPr>
                <w:rFonts w:hint="eastAsia" w:ascii="仿宋_GB2312" w:hAnsi="仿宋_GB2312" w:eastAsia="仿宋_GB2312" w:cs="仿宋_GB2312"/>
                <w:strike w:val="0"/>
                <w:dstrike w:val="0"/>
                <w:color w:val="FFFFFF" w:themeColor="background1"/>
                <w:kern w:val="2"/>
                <w:sz w:val="28"/>
                <w:szCs w:val="28"/>
                <w:lang w:val="en-US" w:eastAsia="zh-CN" w:bidi="ar-SA"/>
                <w14:textFill>
                  <w14:solidFill>
                    <w14:schemeClr w14:val="bg1"/>
                  </w14:solidFill>
                </w14:textFill>
              </w:rPr>
              <w:t>1</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月</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日起至</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年</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u w:val="single"/>
                <w:lang w:val="en-US" w:eastAsia="zh-CN" w:bidi="ar-SA"/>
              </w:rPr>
              <w:tab/>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月</w:t>
            </w:r>
            <w:r>
              <w:rPr>
                <w:rFonts w:hint="eastAsia" w:ascii="仿宋_GB2312" w:hAnsi="仿宋_GB2312" w:eastAsia="仿宋_GB2312" w:cs="仿宋_GB2312"/>
                <w:strike w:val="0"/>
                <w:dstrike w:val="0"/>
                <w:kern w:val="2"/>
                <w:sz w:val="28"/>
                <w:szCs w:val="28"/>
                <w:u w:val="single"/>
                <w:lang w:val="en-US" w:eastAsia="zh-CN" w:bidi="ar-SA"/>
              </w:rPr>
              <w:t xml:space="preserve">    </w:t>
            </w:r>
            <w:r>
              <w:rPr>
                <w:rFonts w:hint="eastAsia" w:ascii="仿宋_GB2312" w:hAnsi="仿宋_GB2312" w:eastAsia="仿宋_GB2312" w:cs="仿宋_GB2312"/>
                <w:strike w:val="0"/>
                <w:dstrike w:val="0"/>
                <w:kern w:val="2"/>
                <w:sz w:val="28"/>
                <w:szCs w:val="28"/>
                <w:lang w:val="en-US" w:eastAsia="zh-CN" w:bidi="ar-SA"/>
              </w:rPr>
              <w:t>日止。定点医药机构按规定做好相关人员登记备案状态维护。如需恢复，可在终止期满后向本医疗保障经办机构提出申请。</w:t>
            </w:r>
          </w:p>
          <w:p w14:paraId="6F28402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trike w:val="0"/>
                <w:dstrike w:val="0"/>
                <w:kern w:val="2"/>
                <w:sz w:val="28"/>
                <w:szCs w:val="28"/>
                <w:lang w:val="en-US" w:eastAsia="zh-CN" w:bidi="ar-SA"/>
              </w:rPr>
            </w:pPr>
          </w:p>
          <w:p w14:paraId="632656D2">
            <w:pPr>
              <w:pStyle w:val="8"/>
              <w:keepNext w:val="0"/>
              <w:keepLines w:val="0"/>
              <w:pageBreakBefore w:val="0"/>
              <w:widowControl w:val="0"/>
              <w:kinsoku/>
              <w:wordWrap/>
              <w:overflowPunct/>
              <w:topLinePunct w:val="0"/>
              <w:autoSpaceDE/>
              <w:autoSpaceDN/>
              <w:bidi w:val="0"/>
              <w:adjustRightInd/>
              <w:snapToGrid/>
              <w:spacing w:line="240" w:lineRule="auto"/>
              <w:ind w:left="279" w:leftChars="133" w:right="0" w:firstLine="4956" w:firstLineChars="1770"/>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 xml:space="preserve">公章：                   </w:t>
            </w:r>
          </w:p>
          <w:p w14:paraId="344A4CB9">
            <w:pPr>
              <w:pStyle w:val="8"/>
              <w:keepNext w:val="0"/>
              <w:keepLines w:val="0"/>
              <w:pageBreakBefore w:val="0"/>
              <w:widowControl w:val="0"/>
              <w:kinsoku/>
              <w:wordWrap/>
              <w:overflowPunct/>
              <w:topLinePunct w:val="0"/>
              <w:autoSpaceDE/>
              <w:autoSpaceDN/>
              <w:bidi w:val="0"/>
              <w:adjustRightInd/>
              <w:snapToGrid/>
              <w:spacing w:line="240" w:lineRule="auto"/>
              <w:ind w:left="279" w:leftChars="133" w:right="0" w:firstLine="4956" w:firstLineChars="1770"/>
              <w:textAlignment w:val="auto"/>
              <w:rPr>
                <w:rFonts w:hint="eastAsia" w:ascii="Times New Roman" w:hAnsi="Times New Roman" w:eastAsia="黑体" w:cs="黑体"/>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日期：</w:t>
            </w:r>
          </w:p>
        </w:tc>
      </w:tr>
      <w:tr w14:paraId="3E8ECF9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 w:hRule="atLeast"/>
          <w:jc w:val="center"/>
        </w:trPr>
        <w:tc>
          <w:tcPr>
            <w:tcW w:w="2239" w:type="dxa"/>
            <w:gridSpan w:val="2"/>
            <w:tcBorders>
              <w:left w:val="single" w:color="231F20" w:sz="6" w:space="0"/>
              <w:bottom w:val="single" w:color="231F20" w:sz="6" w:space="0"/>
            </w:tcBorders>
            <w:vAlign w:val="center"/>
          </w:tcPr>
          <w:p w14:paraId="0B07F99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4"/>
                <w:szCs w:val="24"/>
                <w:lang w:val="en-US" w:eastAsia="zh-CN" w:bidi="ar-SA"/>
              </w:rPr>
              <w:t>相关人员签字</w:t>
            </w:r>
          </w:p>
        </w:tc>
        <w:tc>
          <w:tcPr>
            <w:tcW w:w="2789" w:type="dxa"/>
            <w:gridSpan w:val="4"/>
            <w:tcBorders>
              <w:bottom w:val="single" w:color="231F20" w:sz="6" w:space="0"/>
            </w:tcBorders>
            <w:vAlign w:val="center"/>
          </w:tcPr>
          <w:p w14:paraId="37AB223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黑体" w:cs="黑体"/>
                <w:strike w:val="0"/>
                <w:dstrike w:val="0"/>
                <w:kern w:val="2"/>
                <w:sz w:val="28"/>
                <w:szCs w:val="28"/>
                <w:lang w:val="en-US" w:eastAsia="zh-CN" w:bidi="ar-SA"/>
              </w:rPr>
            </w:pPr>
          </w:p>
        </w:tc>
        <w:tc>
          <w:tcPr>
            <w:tcW w:w="1116" w:type="dxa"/>
            <w:tcBorders>
              <w:bottom w:val="single" w:color="231F20" w:sz="6" w:space="0"/>
            </w:tcBorders>
            <w:vAlign w:val="center"/>
          </w:tcPr>
          <w:p w14:paraId="278AB8F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黑体" w:cs="黑体"/>
                <w:strike w:val="0"/>
                <w:dstrike w:val="0"/>
                <w:kern w:val="2"/>
                <w:sz w:val="24"/>
                <w:szCs w:val="24"/>
                <w:lang w:val="en-US" w:eastAsia="zh-CN" w:bidi="ar-SA"/>
              </w:rPr>
            </w:pPr>
            <w:r>
              <w:rPr>
                <w:rFonts w:hint="eastAsia" w:ascii="Times New Roman" w:hAnsi="Times New Roman" w:eastAsia="黑体" w:cs="黑体"/>
                <w:strike w:val="0"/>
                <w:dstrike w:val="0"/>
                <w:kern w:val="2"/>
                <w:sz w:val="24"/>
                <w:szCs w:val="24"/>
                <w:lang w:val="en-US" w:eastAsia="zh-CN" w:bidi="ar-SA"/>
              </w:rPr>
              <w:t>日期</w:t>
            </w:r>
          </w:p>
        </w:tc>
        <w:tc>
          <w:tcPr>
            <w:tcW w:w="2756" w:type="dxa"/>
            <w:gridSpan w:val="2"/>
            <w:tcBorders>
              <w:bottom w:val="single" w:color="231F20" w:sz="6" w:space="0"/>
              <w:right w:val="single" w:color="231F20" w:sz="6" w:space="0"/>
            </w:tcBorders>
            <w:vAlign w:val="center"/>
          </w:tcPr>
          <w:p w14:paraId="3215DA8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黑体" w:cs="黑体"/>
                <w:strike w:val="0"/>
                <w:dstrike w:val="0"/>
                <w:kern w:val="2"/>
                <w:sz w:val="28"/>
                <w:szCs w:val="28"/>
                <w:lang w:val="en-US" w:eastAsia="zh-CN" w:bidi="ar-SA"/>
              </w:rPr>
            </w:pPr>
          </w:p>
        </w:tc>
      </w:tr>
    </w:tbl>
    <w:p w14:paraId="6FA9B974">
      <w:pPr>
        <w:pStyle w:val="2"/>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jc w:val="both"/>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如有异议，可在收到处理通知书后10个工作日内，向医疗保障经办机构提出书面申诉。</w:t>
      </w:r>
    </w:p>
    <w:p w14:paraId="410A9CD4">
      <w:pPr>
        <w:pStyle w:val="2"/>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jc w:val="both"/>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本通知书经办机构留存一份，相关人员及所属机构（含多点执业机</w:t>
      </w:r>
    </w:p>
    <w:p w14:paraId="7B6F14DF">
      <w:pPr>
        <w:pStyle w:val="2"/>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仿宋_GB2312" w:hAnsi="仿宋_GB2312" w:eastAsia="仿宋_GB2312" w:cs="仿宋_GB2312"/>
          <w:strike w:val="0"/>
          <w:dstrike w:val="0"/>
          <w:kern w:val="2"/>
          <w:sz w:val="28"/>
          <w:szCs w:val="28"/>
          <w:lang w:val="en-US" w:eastAsia="zh-CN" w:bidi="ar-SA"/>
        </w:rPr>
      </w:pPr>
      <w:r>
        <w:rPr>
          <w:rFonts w:hint="eastAsia" w:ascii="仿宋_GB2312" w:hAnsi="仿宋_GB2312" w:eastAsia="仿宋_GB2312" w:cs="仿宋_GB2312"/>
          <w:strike w:val="0"/>
          <w:dstrike w:val="0"/>
          <w:kern w:val="2"/>
          <w:sz w:val="28"/>
          <w:szCs w:val="28"/>
          <w:lang w:val="en-US" w:eastAsia="zh-CN" w:bidi="ar-SA"/>
        </w:rPr>
        <w:t>构）各执一份。</w:t>
      </w:r>
    </w:p>
    <w:p w14:paraId="467E6C6E">
      <w:pPr>
        <w:spacing w:line="198" w:lineRule="auto"/>
        <w:rPr>
          <w:rFonts w:hint="eastAsia" w:ascii="Times New Roman" w:hAnsi="Times New Roman" w:eastAsia="黑体" w:cs="黑体"/>
          <w:strike w:val="0"/>
          <w:dstrike w:val="0"/>
          <w:kern w:val="2"/>
          <w:sz w:val="28"/>
          <w:szCs w:val="28"/>
          <w:lang w:val="en-US" w:eastAsia="zh-CN" w:bidi="ar-SA"/>
        </w:rPr>
        <w:sectPr>
          <w:footerReference r:id="rId5" w:type="default"/>
          <w:pgSz w:w="11906" w:h="16838"/>
          <w:pgMar w:top="2098" w:right="1474" w:bottom="1531" w:left="1474" w:header="850" w:footer="992" w:gutter="0"/>
          <w:pgNumType w:fmt="decimal"/>
          <w:cols w:space="720" w:num="1"/>
        </w:sectPr>
      </w:pPr>
    </w:p>
    <w:p w14:paraId="3FBFF46B">
      <w:pPr>
        <w:pStyle w:val="2"/>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hint="default" w:ascii="Times New Roman" w:hAnsi="Times New Roman" w:eastAsia="黑体" w:cs="黑体"/>
          <w:strike w:val="0"/>
          <w:dstrike w:val="0"/>
          <w:kern w:val="2"/>
          <w:sz w:val="32"/>
          <w:szCs w:val="32"/>
          <w:lang w:val="en-US" w:eastAsia="zh-CN" w:bidi="ar-SA"/>
        </w:rPr>
      </w:pPr>
      <w:r>
        <w:rPr>
          <w:rFonts w:hint="eastAsia" w:ascii="Times New Roman" w:hAnsi="Times New Roman" w:eastAsia="黑体" w:cs="黑体"/>
          <w:strike w:val="0"/>
          <w:dstrike w:val="0"/>
          <w:kern w:val="2"/>
          <w:sz w:val="32"/>
          <w:szCs w:val="32"/>
          <w:lang w:val="en-US" w:eastAsia="zh-CN" w:bidi="ar-SA"/>
        </w:rPr>
        <w:t>附件5</w:t>
      </w:r>
    </w:p>
    <w:p w14:paraId="3BCA040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Arial"/>
          <w:sz w:val="21"/>
        </w:rPr>
      </w:pPr>
    </w:p>
    <w:p w14:paraId="04EE3402">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定点医药机构相关人员记分修复申请书</w:t>
      </w:r>
    </w:p>
    <w:p w14:paraId="1D2B44D2">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（参考样式）</w:t>
      </w:r>
    </w:p>
    <w:p w14:paraId="46840419">
      <w:pPr>
        <w:spacing w:line="335" w:lineRule="auto"/>
        <w:rPr>
          <w:rFonts w:ascii="Arial"/>
          <w:sz w:val="21"/>
        </w:rPr>
      </w:pPr>
    </w:p>
    <w:p w14:paraId="5EB12203">
      <w:pPr>
        <w:pStyle w:val="2"/>
        <w:spacing w:before="112" w:line="198" w:lineRule="auto"/>
        <w:ind w:left="29"/>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定点医药机构名称 :                       处理通知书文号 :</w:t>
      </w:r>
    </w:p>
    <w:tbl>
      <w:tblPr>
        <w:tblStyle w:val="9"/>
        <w:tblW w:w="8900"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81"/>
        <w:gridCol w:w="2232"/>
        <w:gridCol w:w="2232"/>
        <w:gridCol w:w="2755"/>
      </w:tblGrid>
      <w:tr w14:paraId="4D58D67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0" w:hRule="atLeast"/>
          <w:jc w:val="center"/>
        </w:trPr>
        <w:tc>
          <w:tcPr>
            <w:tcW w:w="1681" w:type="dxa"/>
            <w:tcBorders>
              <w:top w:val="single" w:color="231F20" w:sz="6" w:space="0"/>
              <w:left w:val="single" w:color="231F20" w:sz="6" w:space="0"/>
            </w:tcBorders>
            <w:vAlign w:val="center"/>
          </w:tcPr>
          <w:p w14:paraId="6F8FE71E">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姓名</w:t>
            </w:r>
          </w:p>
        </w:tc>
        <w:tc>
          <w:tcPr>
            <w:tcW w:w="2232" w:type="dxa"/>
            <w:tcBorders>
              <w:top w:val="single" w:color="231F20" w:sz="6" w:space="0"/>
            </w:tcBorders>
            <w:vAlign w:val="center"/>
          </w:tcPr>
          <w:p w14:paraId="6B8C83BF">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2232" w:type="dxa"/>
            <w:tcBorders>
              <w:top w:val="single" w:color="231F20" w:sz="6" w:space="0"/>
            </w:tcBorders>
            <w:vAlign w:val="center"/>
          </w:tcPr>
          <w:p w14:paraId="128F20DA">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身份证号码</w:t>
            </w:r>
          </w:p>
        </w:tc>
        <w:tc>
          <w:tcPr>
            <w:tcW w:w="2755" w:type="dxa"/>
            <w:tcBorders>
              <w:top w:val="single" w:color="231F20" w:sz="6" w:space="0"/>
              <w:right w:val="single" w:color="231F20" w:sz="6" w:space="0"/>
            </w:tcBorders>
            <w:vAlign w:val="center"/>
          </w:tcPr>
          <w:p w14:paraId="0151155C">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r>
      <w:tr w14:paraId="25BAF5E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2" w:hRule="atLeast"/>
          <w:jc w:val="center"/>
        </w:trPr>
        <w:tc>
          <w:tcPr>
            <w:tcW w:w="1681" w:type="dxa"/>
            <w:tcBorders>
              <w:left w:val="single" w:color="231F20" w:sz="6" w:space="0"/>
            </w:tcBorders>
            <w:vAlign w:val="center"/>
          </w:tcPr>
          <w:p w14:paraId="16490D79">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医保代码</w:t>
            </w:r>
          </w:p>
        </w:tc>
        <w:tc>
          <w:tcPr>
            <w:tcW w:w="2232" w:type="dxa"/>
            <w:vAlign w:val="center"/>
          </w:tcPr>
          <w:p w14:paraId="63ED8D89">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2232" w:type="dxa"/>
            <w:vAlign w:val="center"/>
          </w:tcPr>
          <w:p w14:paraId="15CEC7B8">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联系电话</w:t>
            </w:r>
          </w:p>
        </w:tc>
        <w:tc>
          <w:tcPr>
            <w:tcW w:w="2755" w:type="dxa"/>
            <w:tcBorders>
              <w:right w:val="single" w:color="231F20" w:sz="6" w:space="0"/>
            </w:tcBorders>
            <w:vAlign w:val="center"/>
          </w:tcPr>
          <w:p w14:paraId="48020536">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r>
      <w:tr w14:paraId="6144241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33" w:hRule="atLeast"/>
          <w:jc w:val="center"/>
        </w:trPr>
        <w:tc>
          <w:tcPr>
            <w:tcW w:w="8900" w:type="dxa"/>
            <w:gridSpan w:val="4"/>
            <w:tcBorders>
              <w:left w:val="single" w:color="231F20" w:sz="6" w:space="0"/>
              <w:right w:val="single" w:color="231F20" w:sz="6" w:space="0"/>
            </w:tcBorders>
            <w:vAlign w:val="center"/>
          </w:tcPr>
          <w:p w14:paraId="06155D4F">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记分修复申请 :  （可附相关证明材料）</w:t>
            </w:r>
          </w:p>
          <w:p w14:paraId="6620CD66">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p>
          <w:p w14:paraId="4F02333D">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p>
          <w:p w14:paraId="73692C31">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签字 :</w:t>
            </w:r>
          </w:p>
          <w:p w14:paraId="5CC1C4C3">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年    月     日</w:t>
            </w:r>
          </w:p>
        </w:tc>
      </w:tr>
      <w:tr w14:paraId="560D847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55" w:hRule="atLeast"/>
          <w:jc w:val="center"/>
        </w:trPr>
        <w:tc>
          <w:tcPr>
            <w:tcW w:w="8900" w:type="dxa"/>
            <w:gridSpan w:val="4"/>
            <w:tcBorders>
              <w:left w:val="single" w:color="231F20" w:sz="6" w:space="0"/>
              <w:right w:val="single" w:color="231F20" w:sz="6" w:space="0"/>
            </w:tcBorders>
            <w:vAlign w:val="center"/>
          </w:tcPr>
          <w:p w14:paraId="43EEF1C5">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定点医药机构意见 :</w:t>
            </w:r>
          </w:p>
          <w:p w14:paraId="1C0AD39A">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p>
          <w:p w14:paraId="6409C80C">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p>
          <w:p w14:paraId="167EB1B3">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公章</w:t>
            </w:r>
          </w:p>
          <w:p w14:paraId="60649A2B">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年    月     日</w:t>
            </w:r>
          </w:p>
        </w:tc>
      </w:tr>
      <w:tr w14:paraId="5C61431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14" w:hRule="atLeast"/>
          <w:jc w:val="center"/>
        </w:trPr>
        <w:tc>
          <w:tcPr>
            <w:tcW w:w="8900" w:type="dxa"/>
            <w:gridSpan w:val="4"/>
            <w:tcBorders>
              <w:left w:val="single" w:color="231F20" w:sz="6" w:space="0"/>
              <w:bottom w:val="single" w:color="231F20" w:sz="6" w:space="0"/>
              <w:right w:val="single" w:color="231F20" w:sz="6" w:space="0"/>
            </w:tcBorders>
            <w:vAlign w:val="center"/>
          </w:tcPr>
          <w:p w14:paraId="5BD89865">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医疗保障经办机构意见 :</w:t>
            </w:r>
          </w:p>
          <w:p w14:paraId="3C40DAFE">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p>
          <w:p w14:paraId="39D75EAD">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p>
          <w:p w14:paraId="241C1091">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公章</w:t>
            </w:r>
          </w:p>
          <w:p w14:paraId="3C96EB41">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年    月     日</w:t>
            </w:r>
          </w:p>
        </w:tc>
      </w:tr>
    </w:tbl>
    <w:p w14:paraId="770B8FCD">
      <w:pPr>
        <w:pStyle w:val="5"/>
        <w:ind w:left="0" w:leftChars="0" w:firstLine="0" w:firstLineChars="0"/>
        <w:rPr>
          <w:rFonts w:ascii="Arial" w:hAnsi="Arial" w:eastAsia="Arial" w:cs="Arial"/>
          <w:sz w:val="21"/>
          <w:szCs w:val="21"/>
        </w:rPr>
        <w:sectPr>
          <w:footerReference r:id="rId6" w:type="default"/>
          <w:pgSz w:w="11906" w:h="16838"/>
          <w:pgMar w:top="1701" w:right="1531" w:bottom="1304" w:left="1531" w:header="850" w:footer="992" w:gutter="0"/>
          <w:pgNumType w:fmt="decimal"/>
          <w:cols w:space="720" w:num="1"/>
        </w:sectPr>
      </w:pPr>
    </w:p>
    <w:p w14:paraId="36D27DD2">
      <w:pPr>
        <w:pStyle w:val="2"/>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hint="eastAsia" w:ascii="黑体" w:hAnsi="黑体" w:eastAsia="黑体" w:cs="黑体"/>
          <w:strike w:val="0"/>
          <w:dstrike w:val="0"/>
          <w:kern w:val="2"/>
          <w:sz w:val="32"/>
          <w:szCs w:val="32"/>
          <w:lang w:val="en-US" w:eastAsia="zh-CN" w:bidi="ar-SA"/>
        </w:rPr>
      </w:pPr>
      <w:r>
        <w:rPr>
          <w:rFonts w:hint="eastAsia" w:ascii="黑体" w:hAnsi="黑体" w:eastAsia="黑体" w:cs="黑体"/>
          <w:strike w:val="0"/>
          <w:dstrike w:val="0"/>
          <w:kern w:val="2"/>
          <w:sz w:val="32"/>
          <w:szCs w:val="32"/>
          <w:lang w:val="en-US" w:eastAsia="zh-CN" w:bidi="ar-SA"/>
        </w:rPr>
        <w:t>附件6</w:t>
      </w:r>
    </w:p>
    <w:p w14:paraId="7210ADDD">
      <w:pPr>
        <w:pStyle w:val="2"/>
        <w:keepNext w:val="0"/>
        <w:keepLines w:val="0"/>
        <w:pageBreakBefore w:val="0"/>
        <w:widowControl w:val="0"/>
        <w:kinsoku/>
        <w:wordWrap/>
        <w:overflowPunct/>
        <w:topLinePunct w:val="0"/>
        <w:autoSpaceDE/>
        <w:autoSpaceDN/>
        <w:bidi w:val="0"/>
        <w:adjustRightInd/>
        <w:snapToGrid/>
        <w:spacing w:line="640" w:lineRule="exact"/>
        <w:ind w:left="0"/>
        <w:textAlignment w:val="auto"/>
        <w:rPr>
          <w:rFonts w:hint="eastAsia" w:ascii="黑体" w:hAnsi="黑体" w:eastAsia="黑体" w:cs="黑体"/>
          <w:strike w:val="0"/>
          <w:dstrike w:val="0"/>
          <w:kern w:val="2"/>
          <w:sz w:val="32"/>
          <w:szCs w:val="32"/>
          <w:lang w:val="en-US" w:eastAsia="zh-CN" w:bidi="ar-SA"/>
        </w:rPr>
      </w:pPr>
    </w:p>
    <w:p w14:paraId="3462C664">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简体" w:cs="方正小标宋简体"/>
          <w:kern w:val="2"/>
          <w:sz w:val="40"/>
          <w:szCs w:val="40"/>
          <w:lang w:val="en-US" w:eastAsia="zh-CN" w:bidi="ar-SA"/>
        </w:rPr>
      </w:pPr>
      <w:r>
        <w:rPr>
          <w:rFonts w:hint="eastAsia" w:ascii="Times New Roman" w:hAnsi="Times New Roman" w:eastAsia="方正小标宋简体" w:cs="方正小标宋简体"/>
          <w:kern w:val="2"/>
          <w:sz w:val="44"/>
          <w:szCs w:val="44"/>
          <w:lang w:val="en-US" w:eastAsia="zh-CN" w:bidi="ar-SA"/>
        </w:rPr>
        <w:t>定点医药机构相关人员陈述申辩书</w:t>
      </w:r>
    </w:p>
    <w:p w14:paraId="732E7AE3">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（参考样式）</w:t>
      </w:r>
    </w:p>
    <w:p w14:paraId="1B6C0BF2">
      <w:pPr>
        <w:pStyle w:val="2"/>
        <w:spacing w:before="111" w:line="178" w:lineRule="auto"/>
        <w:ind w:left="29"/>
        <w:rPr>
          <w:spacing w:val="10"/>
          <w:sz w:val="26"/>
          <w:szCs w:val="26"/>
          <w14:textOutline w14:w="2540" w14:cap="rnd" w14:cmpd="sng">
            <w14:solidFill>
              <w14:srgbClr w14:val="231F20"/>
            </w14:solidFill>
            <w14:prstDash w14:val="solid"/>
            <w14:bevel/>
          </w14:textOutline>
        </w:rPr>
      </w:pPr>
    </w:p>
    <w:p w14:paraId="2E8D2060">
      <w:pPr>
        <w:pStyle w:val="2"/>
        <w:spacing w:before="112" w:line="198" w:lineRule="auto"/>
        <w:ind w:left="29"/>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定点医药机构名称 :                      处理通知书文号 :</w:t>
      </w:r>
    </w:p>
    <w:tbl>
      <w:tblPr>
        <w:tblStyle w:val="9"/>
        <w:tblW w:w="8900"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81"/>
        <w:gridCol w:w="2232"/>
        <w:gridCol w:w="2232"/>
        <w:gridCol w:w="2755"/>
      </w:tblGrid>
      <w:tr w14:paraId="0FA7186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0" w:hRule="atLeast"/>
          <w:jc w:val="center"/>
        </w:trPr>
        <w:tc>
          <w:tcPr>
            <w:tcW w:w="1681" w:type="dxa"/>
            <w:tcBorders>
              <w:top w:val="single" w:color="231F20" w:sz="6" w:space="0"/>
              <w:left w:val="single" w:color="231F20" w:sz="6" w:space="0"/>
            </w:tcBorders>
            <w:vAlign w:val="center"/>
          </w:tcPr>
          <w:p w14:paraId="51FB4C42">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姓名</w:t>
            </w:r>
          </w:p>
        </w:tc>
        <w:tc>
          <w:tcPr>
            <w:tcW w:w="2232" w:type="dxa"/>
            <w:tcBorders>
              <w:top w:val="single" w:color="231F20" w:sz="6" w:space="0"/>
            </w:tcBorders>
            <w:vAlign w:val="center"/>
          </w:tcPr>
          <w:p w14:paraId="0396F0DE">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2232" w:type="dxa"/>
            <w:tcBorders>
              <w:top w:val="single" w:color="231F20" w:sz="6" w:space="0"/>
            </w:tcBorders>
            <w:vAlign w:val="center"/>
          </w:tcPr>
          <w:p w14:paraId="6CE38269">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身份证号码</w:t>
            </w:r>
          </w:p>
        </w:tc>
        <w:tc>
          <w:tcPr>
            <w:tcW w:w="2755" w:type="dxa"/>
            <w:tcBorders>
              <w:top w:val="single" w:color="231F20" w:sz="6" w:space="0"/>
              <w:right w:val="single" w:color="231F20" w:sz="6" w:space="0"/>
            </w:tcBorders>
            <w:vAlign w:val="center"/>
          </w:tcPr>
          <w:p w14:paraId="340ECFBD">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r>
      <w:tr w14:paraId="681AAF0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2" w:hRule="atLeast"/>
          <w:jc w:val="center"/>
        </w:trPr>
        <w:tc>
          <w:tcPr>
            <w:tcW w:w="1681" w:type="dxa"/>
            <w:tcBorders>
              <w:left w:val="single" w:color="231F20" w:sz="6" w:space="0"/>
            </w:tcBorders>
            <w:vAlign w:val="center"/>
          </w:tcPr>
          <w:p w14:paraId="3FF1DC40">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医保代码</w:t>
            </w:r>
          </w:p>
        </w:tc>
        <w:tc>
          <w:tcPr>
            <w:tcW w:w="2232" w:type="dxa"/>
            <w:vAlign w:val="center"/>
          </w:tcPr>
          <w:p w14:paraId="4333A4F7">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2232" w:type="dxa"/>
            <w:vAlign w:val="center"/>
          </w:tcPr>
          <w:p w14:paraId="4B9EC0FF">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联系电话</w:t>
            </w:r>
          </w:p>
        </w:tc>
        <w:tc>
          <w:tcPr>
            <w:tcW w:w="2755" w:type="dxa"/>
            <w:tcBorders>
              <w:right w:val="single" w:color="231F20" w:sz="6" w:space="0"/>
            </w:tcBorders>
            <w:vAlign w:val="center"/>
          </w:tcPr>
          <w:p w14:paraId="7721E9A5">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r>
      <w:tr w14:paraId="4EF4BE9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06" w:hRule="atLeast"/>
          <w:jc w:val="center"/>
        </w:trPr>
        <w:tc>
          <w:tcPr>
            <w:tcW w:w="8900" w:type="dxa"/>
            <w:gridSpan w:val="4"/>
            <w:tcBorders>
              <w:left w:val="single" w:color="231F20" w:sz="6" w:space="0"/>
              <w:right w:val="single" w:color="231F20" w:sz="6" w:space="0"/>
            </w:tcBorders>
            <w:vAlign w:val="top"/>
          </w:tcPr>
          <w:p w14:paraId="68EAA35A">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陈述申辩内容 :  （可附相关佐证材料）</w:t>
            </w:r>
          </w:p>
          <w:p w14:paraId="6AAC5CB0">
            <w:pPr>
              <w:spacing w:line="282" w:lineRule="auto"/>
              <w:rPr>
                <w:rFonts w:ascii="Arial"/>
                <w:sz w:val="21"/>
              </w:rPr>
            </w:pPr>
          </w:p>
          <w:p w14:paraId="274E2752">
            <w:pPr>
              <w:spacing w:line="283" w:lineRule="auto"/>
              <w:rPr>
                <w:rFonts w:ascii="Arial"/>
                <w:sz w:val="21"/>
              </w:rPr>
            </w:pPr>
          </w:p>
          <w:p w14:paraId="3E04C1AA">
            <w:pPr>
              <w:spacing w:line="283" w:lineRule="auto"/>
              <w:rPr>
                <w:rFonts w:ascii="Arial"/>
                <w:sz w:val="21"/>
              </w:rPr>
            </w:pPr>
          </w:p>
          <w:p w14:paraId="62EFC92A">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签字 :</w:t>
            </w:r>
          </w:p>
          <w:p w14:paraId="366FF50B">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pPr>
            <w:r>
              <w:rPr>
                <w:rFonts w:hint="eastAsia" w:ascii="Times New Roman" w:hAnsi="Times New Roman" w:eastAsia="黑体" w:cs="黑体"/>
                <w:strike w:val="0"/>
                <w:dstrike w:val="0"/>
                <w:kern w:val="2"/>
                <w:sz w:val="28"/>
                <w:szCs w:val="28"/>
                <w:lang w:val="en-US" w:eastAsia="zh-CN" w:bidi="ar-SA"/>
              </w:rPr>
              <w:t xml:space="preserve">                                      年    月     日</w:t>
            </w:r>
          </w:p>
        </w:tc>
      </w:tr>
      <w:tr w14:paraId="01A7B25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06" w:hRule="atLeast"/>
          <w:jc w:val="center"/>
        </w:trPr>
        <w:tc>
          <w:tcPr>
            <w:tcW w:w="8900" w:type="dxa"/>
            <w:gridSpan w:val="4"/>
            <w:tcBorders>
              <w:left w:val="single" w:color="231F20" w:sz="6" w:space="0"/>
              <w:right w:val="single" w:color="231F20" w:sz="6" w:space="0"/>
            </w:tcBorders>
            <w:vAlign w:val="top"/>
          </w:tcPr>
          <w:p w14:paraId="3C4E8B87">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定点医药机构意见 :</w:t>
            </w:r>
          </w:p>
          <w:p w14:paraId="2640DE17">
            <w:pPr>
              <w:spacing w:line="316" w:lineRule="auto"/>
              <w:rPr>
                <w:rFonts w:ascii="Arial"/>
                <w:sz w:val="21"/>
              </w:rPr>
            </w:pPr>
          </w:p>
          <w:p w14:paraId="3DA36AB7">
            <w:pPr>
              <w:spacing w:line="316" w:lineRule="auto"/>
              <w:rPr>
                <w:rFonts w:ascii="Arial"/>
                <w:sz w:val="21"/>
              </w:rPr>
            </w:pPr>
          </w:p>
          <w:p w14:paraId="1BD957D9">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公章</w:t>
            </w:r>
          </w:p>
          <w:p w14:paraId="6D49E624">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pPr>
            <w:r>
              <w:rPr>
                <w:rFonts w:hint="eastAsia" w:ascii="Times New Roman" w:hAnsi="Times New Roman" w:eastAsia="黑体" w:cs="黑体"/>
                <w:strike w:val="0"/>
                <w:dstrike w:val="0"/>
                <w:kern w:val="2"/>
                <w:sz w:val="28"/>
                <w:szCs w:val="28"/>
                <w:lang w:val="en-US" w:eastAsia="zh-CN" w:bidi="ar-SA"/>
              </w:rPr>
              <w:t xml:space="preserve">                                      年    月     日</w:t>
            </w:r>
          </w:p>
        </w:tc>
      </w:tr>
      <w:tr w14:paraId="42C1E48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14" w:hRule="atLeast"/>
          <w:jc w:val="center"/>
        </w:trPr>
        <w:tc>
          <w:tcPr>
            <w:tcW w:w="8900" w:type="dxa"/>
            <w:gridSpan w:val="4"/>
            <w:tcBorders>
              <w:left w:val="single" w:color="231F20" w:sz="6" w:space="0"/>
              <w:bottom w:val="single" w:color="231F20" w:sz="6" w:space="0"/>
              <w:right w:val="single" w:color="231F20" w:sz="6" w:space="0"/>
            </w:tcBorders>
            <w:vAlign w:val="top"/>
          </w:tcPr>
          <w:p w14:paraId="448332FB">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医疗保障经办机构意见 :</w:t>
            </w:r>
          </w:p>
          <w:p w14:paraId="174E65B9">
            <w:pPr>
              <w:spacing w:line="316" w:lineRule="auto"/>
              <w:rPr>
                <w:rFonts w:ascii="Arial"/>
                <w:sz w:val="21"/>
              </w:rPr>
            </w:pPr>
          </w:p>
          <w:p w14:paraId="5CACD45A">
            <w:pPr>
              <w:spacing w:line="316" w:lineRule="auto"/>
              <w:rPr>
                <w:rFonts w:ascii="Arial"/>
                <w:sz w:val="21"/>
              </w:rPr>
            </w:pPr>
          </w:p>
          <w:p w14:paraId="121F5D41">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公章</w:t>
            </w:r>
          </w:p>
          <w:p w14:paraId="180ECB1D">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pPr>
            <w:r>
              <w:rPr>
                <w:rFonts w:hint="eastAsia" w:ascii="Times New Roman" w:hAnsi="Times New Roman" w:eastAsia="黑体" w:cs="黑体"/>
                <w:strike w:val="0"/>
                <w:dstrike w:val="0"/>
                <w:kern w:val="2"/>
                <w:sz w:val="28"/>
                <w:szCs w:val="28"/>
                <w:lang w:val="en-US" w:eastAsia="zh-CN" w:bidi="ar-SA"/>
              </w:rPr>
              <w:t xml:space="preserve">                                      年    月     日</w:t>
            </w:r>
          </w:p>
        </w:tc>
      </w:tr>
    </w:tbl>
    <w:p w14:paraId="1DA2FF8F">
      <w:pPr>
        <w:rPr>
          <w:rFonts w:ascii="Arial"/>
          <w:sz w:val="21"/>
        </w:rPr>
      </w:pPr>
    </w:p>
    <w:p w14:paraId="25F42B76">
      <w:pPr>
        <w:rPr>
          <w:rFonts w:ascii="Arial" w:hAnsi="Arial" w:eastAsia="Arial" w:cs="Arial"/>
          <w:sz w:val="21"/>
          <w:szCs w:val="21"/>
        </w:rPr>
        <w:sectPr>
          <w:pgSz w:w="11906" w:h="16838"/>
          <w:pgMar w:top="1701" w:right="1474" w:bottom="1247" w:left="1531" w:header="850" w:footer="992" w:gutter="0"/>
          <w:pgNumType w:fmt="decimal"/>
          <w:cols w:space="720" w:num="1"/>
        </w:sectPr>
      </w:pPr>
    </w:p>
    <w:p w14:paraId="5EDE7BC3">
      <w:pPr>
        <w:pStyle w:val="2"/>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黑体" w:hAnsi="黑体" w:eastAsia="黑体" w:cs="黑体"/>
          <w:strike w:val="0"/>
          <w:dstrike w:val="0"/>
          <w:kern w:val="2"/>
          <w:sz w:val="32"/>
          <w:szCs w:val="32"/>
          <w:lang w:val="en-US" w:eastAsia="zh-CN" w:bidi="ar-SA"/>
        </w:rPr>
      </w:pPr>
      <w:r>
        <w:rPr>
          <w:rFonts w:hint="eastAsia" w:ascii="黑体" w:hAnsi="黑体" w:eastAsia="黑体" w:cs="黑体"/>
          <w:strike w:val="0"/>
          <w:dstrike w:val="0"/>
          <w:kern w:val="2"/>
          <w:sz w:val="32"/>
          <w:szCs w:val="32"/>
          <w:lang w:val="en-US" w:eastAsia="zh-CN" w:bidi="ar-SA"/>
        </w:rPr>
        <w:t>附件7</w:t>
      </w:r>
    </w:p>
    <w:p w14:paraId="1BA7AB93">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ascii="Arial"/>
          <w:sz w:val="21"/>
        </w:rPr>
      </w:pPr>
    </w:p>
    <w:p w14:paraId="6D52BC05">
      <w:pPr>
        <w:pStyle w:val="2"/>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定点医药机构相关人员医保支付资格恢复</w:t>
      </w:r>
    </w:p>
    <w:p w14:paraId="1879CE9A">
      <w:pPr>
        <w:pStyle w:val="2"/>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Times New Roman" w:hAnsi="Times New Roman" w:eastAsia="方正小标宋简体" w:cs="方正小标宋简体"/>
          <w:kern w:val="2"/>
          <w:sz w:val="40"/>
          <w:szCs w:val="40"/>
          <w:lang w:val="en-US" w:eastAsia="zh-CN" w:bidi="ar-SA"/>
        </w:rPr>
      </w:pPr>
      <w:r>
        <w:rPr>
          <w:rFonts w:hint="eastAsia" w:ascii="Times New Roman" w:hAnsi="Times New Roman" w:eastAsia="方正小标宋简体" w:cs="方正小标宋简体"/>
          <w:kern w:val="2"/>
          <w:sz w:val="44"/>
          <w:szCs w:val="44"/>
          <w:lang w:val="en-US" w:eastAsia="zh-CN" w:bidi="ar-SA"/>
        </w:rPr>
        <w:t>申请书</w:t>
      </w:r>
    </w:p>
    <w:p w14:paraId="4009F705">
      <w:pPr>
        <w:pStyle w:val="2"/>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（参考样式）</w:t>
      </w:r>
    </w:p>
    <w:p w14:paraId="343DC2BA">
      <w:pPr>
        <w:spacing w:before="19"/>
      </w:pPr>
    </w:p>
    <w:tbl>
      <w:tblPr>
        <w:tblStyle w:val="9"/>
        <w:tblW w:w="89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9"/>
        <w:gridCol w:w="1675"/>
        <w:gridCol w:w="1675"/>
        <w:gridCol w:w="1675"/>
        <w:gridCol w:w="2477"/>
      </w:tblGrid>
      <w:tr w14:paraId="04B3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1399" w:type="dxa"/>
            <w:vMerge w:val="restart"/>
            <w:vAlign w:val="center"/>
          </w:tcPr>
          <w:p w14:paraId="16FA00C3">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相关人员</w:t>
            </w:r>
          </w:p>
        </w:tc>
        <w:tc>
          <w:tcPr>
            <w:tcW w:w="1675" w:type="dxa"/>
            <w:vAlign w:val="center"/>
          </w:tcPr>
          <w:p w14:paraId="56F4CDFA">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姓名</w:t>
            </w:r>
          </w:p>
        </w:tc>
        <w:tc>
          <w:tcPr>
            <w:tcW w:w="1675" w:type="dxa"/>
            <w:vAlign w:val="center"/>
          </w:tcPr>
          <w:p w14:paraId="7CF49BF4">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1675" w:type="dxa"/>
            <w:vAlign w:val="center"/>
          </w:tcPr>
          <w:p w14:paraId="05A198FF">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身份证号码</w:t>
            </w:r>
          </w:p>
        </w:tc>
        <w:tc>
          <w:tcPr>
            <w:tcW w:w="2477" w:type="dxa"/>
            <w:vAlign w:val="center"/>
          </w:tcPr>
          <w:p w14:paraId="0C895508">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r>
      <w:tr w14:paraId="4A0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1399" w:type="dxa"/>
            <w:vMerge w:val="continue"/>
            <w:vAlign w:val="center"/>
          </w:tcPr>
          <w:p w14:paraId="1140D481">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1675" w:type="dxa"/>
            <w:vAlign w:val="center"/>
          </w:tcPr>
          <w:p w14:paraId="2ED76156">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医保代码</w:t>
            </w:r>
          </w:p>
        </w:tc>
        <w:tc>
          <w:tcPr>
            <w:tcW w:w="1675" w:type="dxa"/>
            <w:vAlign w:val="center"/>
          </w:tcPr>
          <w:p w14:paraId="74BC2266">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1675" w:type="dxa"/>
            <w:vAlign w:val="center"/>
          </w:tcPr>
          <w:p w14:paraId="10FE821F">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联系电话</w:t>
            </w:r>
          </w:p>
        </w:tc>
        <w:tc>
          <w:tcPr>
            <w:tcW w:w="2477" w:type="dxa"/>
            <w:vAlign w:val="center"/>
          </w:tcPr>
          <w:p w14:paraId="65486427">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r>
      <w:tr w14:paraId="63D1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trPr>
        <w:tc>
          <w:tcPr>
            <w:tcW w:w="1399" w:type="dxa"/>
            <w:vAlign w:val="center"/>
          </w:tcPr>
          <w:p w14:paraId="2DDFCD01">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违规行为</w:t>
            </w:r>
          </w:p>
        </w:tc>
        <w:tc>
          <w:tcPr>
            <w:tcW w:w="1675" w:type="dxa"/>
            <w:vAlign w:val="center"/>
          </w:tcPr>
          <w:p w14:paraId="23D3F5B7">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认定违规</w:t>
            </w:r>
          </w:p>
          <w:p w14:paraId="3824F711">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行为文书号</w:t>
            </w:r>
          </w:p>
        </w:tc>
        <w:tc>
          <w:tcPr>
            <w:tcW w:w="1675" w:type="dxa"/>
            <w:vAlign w:val="center"/>
          </w:tcPr>
          <w:p w14:paraId="6BD36471">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c>
          <w:tcPr>
            <w:tcW w:w="1675" w:type="dxa"/>
            <w:vAlign w:val="center"/>
          </w:tcPr>
          <w:p w14:paraId="1C7A44D3">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暂停/终止</w:t>
            </w:r>
          </w:p>
          <w:p w14:paraId="530053EC">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结算时间</w:t>
            </w:r>
          </w:p>
        </w:tc>
        <w:tc>
          <w:tcPr>
            <w:tcW w:w="2477" w:type="dxa"/>
            <w:vAlign w:val="center"/>
          </w:tcPr>
          <w:p w14:paraId="0A867821">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黑体" w:cs="黑体"/>
                <w:strike w:val="0"/>
                <w:dstrike w:val="0"/>
                <w:kern w:val="2"/>
                <w:sz w:val="28"/>
                <w:szCs w:val="28"/>
                <w:lang w:val="en-US" w:eastAsia="zh-CN" w:bidi="ar-SA"/>
              </w:rPr>
            </w:pPr>
          </w:p>
        </w:tc>
      </w:tr>
      <w:tr w14:paraId="6E1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8" w:hRule="atLeast"/>
        </w:trPr>
        <w:tc>
          <w:tcPr>
            <w:tcW w:w="8901" w:type="dxa"/>
            <w:gridSpan w:val="5"/>
            <w:vAlign w:val="top"/>
          </w:tcPr>
          <w:p w14:paraId="54248D46">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本人声明，已达到暂停/终止医保结算时长，期间无违法违规行为、 无医保结算行为，现申请恢复医保支付资格。</w:t>
            </w:r>
          </w:p>
          <w:p w14:paraId="51BD3BBB">
            <w:pPr>
              <w:spacing w:line="254" w:lineRule="auto"/>
              <w:rPr>
                <w:rFonts w:ascii="Arial"/>
                <w:sz w:val="21"/>
              </w:rPr>
            </w:pPr>
          </w:p>
          <w:p w14:paraId="7A8AF9C0">
            <w:pPr>
              <w:spacing w:line="254" w:lineRule="auto"/>
              <w:rPr>
                <w:rFonts w:ascii="Arial"/>
                <w:sz w:val="21"/>
              </w:rPr>
            </w:pPr>
          </w:p>
          <w:p w14:paraId="268FD48E">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签字：</w:t>
            </w:r>
          </w:p>
          <w:p w14:paraId="29C42F4E">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pPr>
            <w:r>
              <w:rPr>
                <w:rFonts w:hint="eastAsia" w:ascii="Times New Roman" w:hAnsi="Times New Roman" w:eastAsia="黑体" w:cs="黑体"/>
                <w:strike w:val="0"/>
                <w:dstrike w:val="0"/>
                <w:kern w:val="2"/>
                <w:sz w:val="28"/>
                <w:szCs w:val="28"/>
                <w:lang w:val="en-US" w:eastAsia="zh-CN" w:bidi="ar-SA"/>
              </w:rPr>
              <w:t xml:space="preserve">                                   申请日期：</w:t>
            </w:r>
          </w:p>
        </w:tc>
      </w:tr>
      <w:tr w14:paraId="460B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7" w:hRule="atLeast"/>
        </w:trPr>
        <w:tc>
          <w:tcPr>
            <w:tcW w:w="8901" w:type="dxa"/>
            <w:gridSpan w:val="5"/>
            <w:vAlign w:val="top"/>
          </w:tcPr>
          <w:p w14:paraId="0D26032B">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定点医药机构意见 :</w:t>
            </w:r>
          </w:p>
          <w:p w14:paraId="3F0BCA1A">
            <w:pPr>
              <w:spacing w:line="280" w:lineRule="auto"/>
              <w:rPr>
                <w:rFonts w:ascii="Arial"/>
                <w:sz w:val="21"/>
              </w:rPr>
            </w:pPr>
          </w:p>
          <w:p w14:paraId="0B25C91F">
            <w:pPr>
              <w:spacing w:line="280" w:lineRule="auto"/>
              <w:rPr>
                <w:rFonts w:ascii="Arial"/>
                <w:sz w:val="21"/>
              </w:rPr>
            </w:pPr>
          </w:p>
          <w:p w14:paraId="066DA8FA">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Arial"/>
                <w:sz w:val="21"/>
                <w:lang w:val="en-US" w:eastAsia="zh-CN"/>
              </w:rPr>
              <w:t xml:space="preserve">  </w:t>
            </w:r>
            <w:r>
              <w:rPr>
                <w:rFonts w:hint="eastAsia" w:ascii="Times New Roman" w:hAnsi="Times New Roman" w:eastAsia="黑体" w:cs="黑体"/>
                <w:strike w:val="0"/>
                <w:dstrike w:val="0"/>
                <w:kern w:val="2"/>
                <w:sz w:val="28"/>
                <w:szCs w:val="28"/>
                <w:lang w:val="en-US" w:eastAsia="zh-CN" w:bidi="ar-SA"/>
              </w:rPr>
              <w:t xml:space="preserve">                              公章：</w:t>
            </w:r>
          </w:p>
          <w:p w14:paraId="274B94BE">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黑体" w:cs="黑体"/>
                <w:strike w:val="0"/>
                <w:dstrike w:val="0"/>
                <w:kern w:val="2"/>
                <w:sz w:val="28"/>
                <w:szCs w:val="28"/>
                <w:lang w:val="en-US" w:eastAsia="zh-CN" w:bidi="ar-SA"/>
              </w:rPr>
              <w:t xml:space="preserve">                                             日期：</w:t>
            </w:r>
          </w:p>
        </w:tc>
      </w:tr>
      <w:tr w14:paraId="6DE7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trPr>
        <w:tc>
          <w:tcPr>
            <w:tcW w:w="8901" w:type="dxa"/>
            <w:gridSpan w:val="5"/>
            <w:vAlign w:val="top"/>
          </w:tcPr>
          <w:p w14:paraId="66DC4620">
            <w:pPr>
              <w:pStyle w:val="8"/>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医疗保障经办机构意见 :</w:t>
            </w:r>
          </w:p>
          <w:p w14:paraId="3286B17A">
            <w:pPr>
              <w:spacing w:line="280" w:lineRule="auto"/>
              <w:rPr>
                <w:rFonts w:ascii="Arial"/>
                <w:sz w:val="21"/>
              </w:rPr>
            </w:pPr>
          </w:p>
          <w:p w14:paraId="26A2D1E9">
            <w:pPr>
              <w:spacing w:line="280" w:lineRule="auto"/>
              <w:rPr>
                <w:rFonts w:ascii="Arial"/>
                <w:sz w:val="21"/>
              </w:rPr>
            </w:pPr>
          </w:p>
          <w:p w14:paraId="4E2D1AC3">
            <w:pPr>
              <w:pStyle w:val="8"/>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黑体" w:cs="黑体"/>
                <w:strike w:val="0"/>
                <w:dstrike w:val="0"/>
                <w:kern w:val="2"/>
                <w:sz w:val="28"/>
                <w:szCs w:val="28"/>
                <w:lang w:val="en-US" w:eastAsia="zh-CN" w:bidi="ar-SA"/>
              </w:rPr>
            </w:pPr>
            <w:r>
              <w:rPr>
                <w:rFonts w:hint="eastAsia" w:ascii="Times New Roman" w:hAnsi="Times New Roman" w:eastAsia="黑体" w:cs="黑体"/>
                <w:strike w:val="0"/>
                <w:dstrike w:val="0"/>
                <w:kern w:val="2"/>
                <w:sz w:val="28"/>
                <w:szCs w:val="28"/>
                <w:lang w:val="en-US" w:eastAsia="zh-CN" w:bidi="ar-SA"/>
              </w:rPr>
              <w:t xml:space="preserve">                                公章：</w:t>
            </w:r>
          </w:p>
          <w:p w14:paraId="4FD551F4">
            <w:pPr>
              <w:pStyle w:val="8"/>
              <w:spacing w:before="112" w:line="191" w:lineRule="auto"/>
              <w:ind w:right="1497"/>
            </w:pPr>
            <w:r>
              <w:rPr>
                <w:rFonts w:hint="eastAsia" w:ascii="Times New Roman" w:hAnsi="Times New Roman" w:eastAsia="黑体" w:cs="黑体"/>
                <w:strike w:val="0"/>
                <w:dstrike w:val="0"/>
                <w:kern w:val="2"/>
                <w:sz w:val="28"/>
                <w:szCs w:val="28"/>
                <w:lang w:val="en-US" w:eastAsia="zh-CN" w:bidi="ar-SA"/>
              </w:rPr>
              <w:t xml:space="preserve">                                             日期：</w:t>
            </w:r>
          </w:p>
        </w:tc>
      </w:tr>
    </w:tbl>
    <w:p w14:paraId="12458AF6">
      <w:pPr>
        <w:pStyle w:val="2"/>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jc w:val="both"/>
        <w:textAlignment w:val="auto"/>
        <w:rPr>
          <w:rFonts w:hint="eastAsia" w:ascii="仿宋_GB2312" w:hAnsi="仿宋_GB2312" w:eastAsia="仿宋_GB2312" w:cs="仿宋_GB2312"/>
          <w:strike w:val="0"/>
          <w:dstrike w:val="0"/>
          <w:kern w:val="2"/>
          <w:sz w:val="28"/>
          <w:szCs w:val="28"/>
          <w:lang w:val="en-US" w:eastAsia="zh-CN" w:bidi="ar-SA"/>
        </w:rPr>
        <w:sectPr>
          <w:footerReference r:id="rId7" w:type="default"/>
          <w:pgSz w:w="11906" w:h="16838"/>
          <w:pgMar w:top="1701" w:right="1474" w:bottom="1247" w:left="1474" w:header="850" w:footer="992" w:gutter="0"/>
          <w:pgNumType w:fmt="decimal"/>
          <w:cols w:space="720" w:num="1"/>
        </w:sectPr>
      </w:pPr>
      <w:r>
        <w:rPr>
          <w:rFonts w:hint="eastAsia" w:ascii="仿宋_GB2312" w:hAnsi="仿宋_GB2312" w:eastAsia="仿宋_GB2312" w:cs="仿宋_GB2312"/>
          <w:strike w:val="0"/>
          <w:dstrike w:val="0"/>
          <w:kern w:val="2"/>
          <w:sz w:val="28"/>
          <w:szCs w:val="28"/>
          <w:lang w:val="en-US" w:eastAsia="zh-CN" w:bidi="ar-SA"/>
        </w:rPr>
        <w:t>本申请书经办机构留存一份，相关人员及所属机构各执一份。</w:t>
      </w:r>
    </w:p>
    <w:p w14:paraId="4AF6BDD5">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_GB2312" w:cs="仿宋_GB2312"/>
          <w:strike w:val="0"/>
          <w:dstrike w:val="0"/>
          <w:kern w:val="2"/>
          <w:sz w:val="32"/>
          <w:szCs w:val="32"/>
          <w:lang w:val="en-US" w:eastAsia="zh-CN" w:bidi="ar-SA"/>
        </w:rPr>
      </w:pPr>
    </w:p>
    <w:p w14:paraId="05FB8A1F">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_GB2312" w:cs="仿宋_GB2312"/>
          <w:strike w:val="0"/>
          <w:dstrike w:val="0"/>
          <w:kern w:val="2"/>
          <w:sz w:val="32"/>
          <w:szCs w:val="32"/>
          <w:lang w:val="en-US" w:eastAsia="zh-CN" w:bidi="ar-SA"/>
        </w:rPr>
      </w:pPr>
    </w:p>
    <w:p w14:paraId="0771342F">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_GB2312" w:cs="仿宋_GB2312"/>
          <w:strike w:val="0"/>
          <w:dstrike w:val="0"/>
          <w:kern w:val="2"/>
          <w:sz w:val="32"/>
          <w:szCs w:val="32"/>
          <w:lang w:val="en-US" w:eastAsia="zh-CN" w:bidi="ar-SA"/>
        </w:rPr>
      </w:pPr>
    </w:p>
    <w:p w14:paraId="2480E0C1">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_GB2312" w:cs="仿宋_GB2312"/>
          <w:strike w:val="0"/>
          <w:dstrike w:val="0"/>
          <w:kern w:val="2"/>
          <w:sz w:val="32"/>
          <w:szCs w:val="32"/>
          <w:lang w:val="en-US" w:eastAsia="zh-CN" w:bidi="ar-SA"/>
        </w:rPr>
      </w:pPr>
    </w:p>
    <w:p w14:paraId="1B83DC19">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_GB2312" w:cs="仿宋_GB2312"/>
          <w:strike w:val="0"/>
          <w:dstrike w:val="0"/>
          <w:kern w:val="2"/>
          <w:sz w:val="32"/>
          <w:szCs w:val="32"/>
          <w:lang w:val="en-US" w:eastAsia="zh-CN" w:bidi="ar-SA"/>
        </w:rPr>
      </w:pPr>
    </w:p>
    <w:p w14:paraId="74095273">
      <w:pPr>
        <w:pStyle w:val="5"/>
        <w:rPr>
          <w:rFonts w:hint="eastAsia"/>
          <w:lang w:eastAsia="zh-CN"/>
        </w:rPr>
      </w:pPr>
    </w:p>
    <w:p w14:paraId="3BEB22BB">
      <w:pPr>
        <w:rPr>
          <w:rFonts w:hint="eastAsia"/>
          <w:lang w:eastAsia="zh-CN"/>
        </w:rPr>
      </w:pPr>
    </w:p>
    <w:p w14:paraId="15327DCE">
      <w:pPr>
        <w:pStyle w:val="5"/>
        <w:rPr>
          <w:rFonts w:hint="eastAsia"/>
          <w:lang w:eastAsia="zh-CN"/>
        </w:rPr>
      </w:pPr>
    </w:p>
    <w:p w14:paraId="4F805F2B">
      <w:pPr>
        <w:rPr>
          <w:rFonts w:hint="eastAsia"/>
          <w:lang w:eastAsia="zh-CN"/>
        </w:rPr>
      </w:pPr>
    </w:p>
    <w:p w14:paraId="0AE332F6">
      <w:pPr>
        <w:pStyle w:val="5"/>
        <w:rPr>
          <w:rFonts w:hint="eastAsia"/>
          <w:lang w:eastAsia="zh-CN"/>
        </w:rPr>
      </w:pPr>
    </w:p>
    <w:p w14:paraId="54369A50">
      <w:pPr>
        <w:rPr>
          <w:rFonts w:hint="eastAsia"/>
          <w:lang w:eastAsia="zh-CN"/>
        </w:rPr>
      </w:pPr>
    </w:p>
    <w:p w14:paraId="658B3985">
      <w:pPr>
        <w:pStyle w:val="5"/>
        <w:rPr>
          <w:rFonts w:hint="eastAsia"/>
          <w:lang w:eastAsia="zh-CN"/>
        </w:rPr>
      </w:pPr>
    </w:p>
    <w:p w14:paraId="4B6848D9">
      <w:pPr>
        <w:rPr>
          <w:rFonts w:hint="eastAsia"/>
          <w:lang w:eastAsia="zh-CN"/>
        </w:rPr>
      </w:pPr>
    </w:p>
    <w:p w14:paraId="7D43532D">
      <w:pPr>
        <w:pStyle w:val="5"/>
        <w:rPr>
          <w:rFonts w:hint="eastAsia"/>
          <w:lang w:eastAsia="zh-CN"/>
        </w:rPr>
      </w:pPr>
    </w:p>
    <w:p w14:paraId="6A9CAFF1">
      <w:pPr>
        <w:rPr>
          <w:rFonts w:hint="eastAsia"/>
          <w:lang w:eastAsia="zh-CN"/>
        </w:rPr>
      </w:pPr>
    </w:p>
    <w:p w14:paraId="60BED13C">
      <w:pPr>
        <w:pStyle w:val="5"/>
        <w:rPr>
          <w:rFonts w:hint="eastAsia"/>
          <w:lang w:eastAsia="zh-CN"/>
        </w:rPr>
      </w:pPr>
    </w:p>
    <w:p w14:paraId="45095431">
      <w:pPr>
        <w:rPr>
          <w:rFonts w:hint="eastAsia"/>
          <w:lang w:eastAsia="zh-CN"/>
        </w:rPr>
      </w:pPr>
    </w:p>
    <w:p w14:paraId="5303451F">
      <w:pPr>
        <w:rPr>
          <w:rFonts w:hint="eastAsia"/>
          <w:lang w:eastAsia="zh-CN"/>
        </w:rPr>
      </w:pPr>
      <w:r>
        <w:rPr>
          <w:rFonts w:hint="eastAsia"/>
          <w:lang w:eastAsia="zh-CN"/>
        </w:rPr>
        <w:br w:type="page"/>
      </w:r>
    </w:p>
    <w:p w14:paraId="67C317B3">
      <w:pPr>
        <w:rPr>
          <w:rFonts w:hint="eastAsia"/>
          <w:lang w:eastAsia="zh-CN"/>
        </w:rPr>
      </w:pPr>
    </w:p>
    <w:p w14:paraId="473A2803">
      <w:pPr>
        <w:pStyle w:val="5"/>
        <w:rPr>
          <w:rFonts w:hint="eastAsia"/>
          <w:lang w:eastAsia="zh-CN"/>
        </w:rPr>
      </w:pPr>
    </w:p>
    <w:p w14:paraId="0C679D2B">
      <w:pPr>
        <w:rPr>
          <w:rFonts w:hint="eastAsia"/>
          <w:lang w:eastAsia="zh-CN"/>
        </w:rPr>
      </w:pPr>
    </w:p>
    <w:p w14:paraId="4DC09B94">
      <w:pPr>
        <w:pStyle w:val="5"/>
        <w:rPr>
          <w:rFonts w:hint="eastAsia"/>
          <w:lang w:eastAsia="zh-CN"/>
        </w:rPr>
      </w:pPr>
    </w:p>
    <w:p w14:paraId="5CE87D3F">
      <w:pPr>
        <w:rPr>
          <w:rFonts w:hint="eastAsia"/>
          <w:lang w:eastAsia="zh-CN"/>
        </w:rPr>
      </w:pPr>
    </w:p>
    <w:p w14:paraId="7C1A28DD">
      <w:pPr>
        <w:pStyle w:val="5"/>
        <w:rPr>
          <w:rFonts w:hint="eastAsia"/>
          <w:lang w:eastAsia="zh-CN"/>
        </w:rPr>
      </w:pPr>
    </w:p>
    <w:p w14:paraId="1BECFFFD">
      <w:pPr>
        <w:rPr>
          <w:rFonts w:hint="eastAsia"/>
          <w:lang w:eastAsia="zh-CN"/>
        </w:rPr>
      </w:pPr>
    </w:p>
    <w:p w14:paraId="4D8D068A">
      <w:pPr>
        <w:pStyle w:val="5"/>
        <w:rPr>
          <w:rFonts w:hint="eastAsia"/>
          <w:lang w:eastAsia="zh-CN"/>
        </w:rPr>
      </w:pPr>
    </w:p>
    <w:p w14:paraId="4E42E118">
      <w:pPr>
        <w:rPr>
          <w:rFonts w:hint="eastAsia"/>
          <w:lang w:eastAsia="zh-CN"/>
        </w:rPr>
      </w:pPr>
    </w:p>
    <w:p w14:paraId="78120B9A">
      <w:pPr>
        <w:pStyle w:val="5"/>
        <w:rPr>
          <w:rFonts w:hint="eastAsia"/>
          <w:lang w:eastAsia="zh-CN"/>
        </w:rPr>
      </w:pPr>
    </w:p>
    <w:p w14:paraId="0C4FEEB9">
      <w:pPr>
        <w:rPr>
          <w:rFonts w:hint="eastAsia"/>
          <w:lang w:eastAsia="zh-CN"/>
        </w:rPr>
      </w:pPr>
    </w:p>
    <w:p w14:paraId="51AA65C5">
      <w:pPr>
        <w:pStyle w:val="5"/>
        <w:rPr>
          <w:rFonts w:hint="eastAsia"/>
          <w:lang w:eastAsia="zh-CN"/>
        </w:rPr>
      </w:pPr>
    </w:p>
    <w:p w14:paraId="1AA6ED30">
      <w:pPr>
        <w:rPr>
          <w:rFonts w:hint="eastAsia"/>
          <w:lang w:eastAsia="zh-CN"/>
        </w:rPr>
      </w:pPr>
    </w:p>
    <w:p w14:paraId="72BA19B5">
      <w:pPr>
        <w:pStyle w:val="5"/>
        <w:rPr>
          <w:rFonts w:hint="eastAsia"/>
          <w:lang w:eastAsia="zh-CN"/>
        </w:rPr>
      </w:pPr>
    </w:p>
    <w:p w14:paraId="1036710F">
      <w:pPr>
        <w:rPr>
          <w:rFonts w:hint="eastAsia"/>
          <w:lang w:eastAsia="zh-CN"/>
        </w:rPr>
      </w:pPr>
    </w:p>
    <w:p w14:paraId="08EA0FEA">
      <w:pPr>
        <w:pStyle w:val="5"/>
        <w:rPr>
          <w:rFonts w:hint="eastAsia"/>
          <w:lang w:eastAsia="zh-CN"/>
        </w:rPr>
      </w:pPr>
    </w:p>
    <w:p w14:paraId="482F3FA8">
      <w:pPr>
        <w:rPr>
          <w:rFonts w:hint="eastAsia"/>
          <w:lang w:eastAsia="zh-CN"/>
        </w:rPr>
      </w:pPr>
    </w:p>
    <w:p w14:paraId="050F7A75">
      <w:pPr>
        <w:pStyle w:val="5"/>
        <w:rPr>
          <w:rFonts w:hint="eastAsia"/>
          <w:lang w:eastAsia="zh-CN"/>
        </w:rPr>
      </w:pPr>
    </w:p>
    <w:p w14:paraId="7D812A8C">
      <w:pPr>
        <w:rPr>
          <w:rFonts w:hint="eastAsia"/>
          <w:lang w:eastAsia="zh-CN"/>
        </w:rPr>
      </w:pPr>
    </w:p>
    <w:p w14:paraId="16954D64">
      <w:pPr>
        <w:rPr>
          <w:rFonts w:hint="eastAsia"/>
          <w:lang w:eastAsia="zh-CN"/>
        </w:rPr>
      </w:pPr>
    </w:p>
    <w:p w14:paraId="3F860785">
      <w:pPr>
        <w:pStyle w:val="5"/>
        <w:rPr>
          <w:rFonts w:hint="eastAsia"/>
          <w:lang w:eastAsia="zh-CN"/>
        </w:rPr>
      </w:pPr>
    </w:p>
    <w:p w14:paraId="30C71D81">
      <w:pPr>
        <w:rPr>
          <w:rFonts w:hint="eastAsia"/>
          <w:lang w:eastAsia="zh-CN"/>
        </w:rPr>
      </w:pPr>
    </w:p>
    <w:p w14:paraId="3DC2F5DE">
      <w:pPr>
        <w:pStyle w:val="5"/>
        <w:keepNext w:val="0"/>
        <w:keepLines w:val="0"/>
        <w:pageBreakBefore w:val="0"/>
        <w:widowControl w:val="0"/>
        <w:kinsoku/>
        <w:wordWrap/>
        <w:overflowPunct/>
        <w:topLinePunct w:val="0"/>
        <w:autoSpaceDE/>
        <w:autoSpaceDN/>
        <w:bidi w:val="0"/>
        <w:adjustRightInd/>
        <w:snapToGrid/>
        <w:spacing w:before="0" w:after="0" w:line="1000" w:lineRule="exact"/>
        <w:textAlignment w:val="auto"/>
        <w:rPr>
          <w:rFonts w:hint="eastAsia"/>
          <w:lang w:eastAsia="zh-CN"/>
        </w:rPr>
      </w:pPr>
    </w:p>
    <w:p w14:paraId="26CE866F">
      <w:pPr>
        <w:rPr>
          <w:rFonts w:hint="eastAsia"/>
          <w:lang w:eastAsia="zh-CN"/>
        </w:rPr>
      </w:pPr>
    </w:p>
    <w:p w14:paraId="269E1882">
      <w:pPr>
        <w:rPr>
          <w:rFonts w:hint="eastAsia"/>
          <w:lang w:eastAsia="zh-CN"/>
        </w:rPr>
      </w:pPr>
    </w:p>
    <w:p w14:paraId="232CB219">
      <w:pPr>
        <w:ind w:firstLine="210" w:firstLineChars="100"/>
      </w:pPr>
      <w:r>
        <w:rPr>
          <w:rFonts w:ascii="Times New Roman" w:hAnsi="Times New Roman"/>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pt;width:442.2pt;z-index:251660288;mso-width-relative:page;mso-height-relative:page;" filled="f" stroked="t" coordsize="21600,21600" o:gfxdata="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555xdQAAAAGAQAADwAAAAAAAAABACAAAAAiAAAAZHJzL2Rvd25yZXYueG1sUEsB&#10;AhQAFAAAAAgAh07iQE6rx5f5AQAA8gMAAA4AAAAAAAAAAQAgAAAAIwEAAGRycy9lMm9Eb2MueG1s&#10;UEsFBgAAAAAGAAYAWQEAAI4FAAAAAA==&#10;">
                <v:fill on="f" focussize="0,0"/>
                <v:stroke color="#000000" joinstyle="round"/>
                <v:imagedata o:title=""/>
                <o:lock v:ext="edit" aspectratio="f"/>
              </v:line>
            </w:pict>
          </mc:Fallback>
        </mc:AlternateContent>
      </w: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6159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4pt;height:0pt;width:442.2pt;z-index:251659264;mso-width-relative:page;mso-height-relative:page;" filled="f" stroked="t" coordsize="21600,21600" o:gfxdata="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OIPkNEAAAACAQAADwAAAAAAAAABACAAAAAiAAAAZHJzL2Rvd25yZXYueG1sUEsBAhQA&#10;FAAAAAgAh07iQP7wA6v5AQAA8gMAAA4AAAAAAAAAAQAgAAAAIAEAAGRycy9lMm9Eb2MueG1sUEsF&#10;BgAAAAAGAAYAWQEAAIsFAAAAAA==&#10;">
                <v:fill on="f" focussize="0,0"/>
                <v:stroke color="#000000" joinstyle="round"/>
                <v:imagedata o:title=""/>
                <o:lock v:ext="edit" aspectratio="f"/>
              </v:line>
            </w:pict>
          </mc:Fallback>
        </mc:AlternateContent>
      </w:r>
      <w:r>
        <w:rPr>
          <w:rFonts w:hint="eastAsia" w:ascii="Times New Roman" w:hAnsi="Times New Roman" w:eastAsia="仿宋_GB2312" w:cs="仿宋_GB2312"/>
          <w:color w:val="000000"/>
          <w:sz w:val="28"/>
          <w:szCs w:val="28"/>
        </w:rPr>
        <w:t>山东省医疗保障局办公室</w:t>
      </w:r>
      <w:r>
        <w:rPr>
          <w:rFonts w:ascii="Times New Roman" w:hAnsi="Times New Roman" w:eastAsia="仿宋_GB2312" w:cs="仿宋_GB2312"/>
          <w:color w:val="000000"/>
          <w:sz w:val="28"/>
          <w:szCs w:val="28"/>
        </w:rPr>
        <w:t xml:space="preserve">        </w:t>
      </w:r>
      <w:r>
        <w:rPr>
          <w:rFonts w:hint="eastAsia" w:ascii="Times New Roman" w:hAnsi="Times New Roman" w:eastAsia="仿宋_GB2312" w:cs="仿宋_GB2312"/>
          <w:color w:val="000000"/>
          <w:sz w:val="28"/>
          <w:szCs w:val="28"/>
        </w:rPr>
        <w:t xml:space="preserve"> </w:t>
      </w:r>
      <w:r>
        <w:rPr>
          <w:rFonts w:ascii="Times New Roman" w:hAnsi="Times New Roman" w:eastAsia="仿宋_GB2312" w:cs="仿宋_GB2312"/>
          <w:color w:val="000000"/>
          <w:sz w:val="28"/>
          <w:szCs w:val="28"/>
        </w:rPr>
        <w:t xml:space="preserve">  </w:t>
      </w:r>
      <w:r>
        <w:rPr>
          <w:rFonts w:hint="eastAsia" w:ascii="Times New Roman" w:hAnsi="Times New Roman" w:eastAsia="仿宋_GB2312" w:cs="仿宋_GB2312"/>
          <w:color w:val="000000"/>
          <w:sz w:val="28"/>
          <w:szCs w:val="28"/>
          <w:lang w:val="en-US" w:eastAsia="zh-CN"/>
        </w:rPr>
        <w:t xml:space="preserve"> </w:t>
      </w:r>
      <w:r>
        <w:rPr>
          <w:rFonts w:ascii="Times New Roman" w:hAnsi="Times New Roman" w:eastAsia="仿宋_GB2312" w:cs="仿宋_GB2312"/>
          <w:color w:val="000000"/>
          <w:sz w:val="28"/>
          <w:szCs w:val="28"/>
        </w:rPr>
        <w:t xml:space="preserve"> </w:t>
      </w:r>
      <w:r>
        <w:rPr>
          <w:rFonts w:hint="eastAsia" w:ascii="Times New Roman" w:hAnsi="Times New Roman" w:eastAsia="仿宋_GB2312" w:cs="仿宋_GB2312"/>
          <w:color w:val="000000"/>
          <w:sz w:val="28"/>
          <w:szCs w:val="28"/>
          <w:lang w:val="en-US" w:eastAsia="zh-CN"/>
        </w:rPr>
        <w:t xml:space="preserve"> </w:t>
      </w:r>
      <w:r>
        <w:rPr>
          <w:rFonts w:ascii="Times New Roman" w:hAnsi="Times New Roman" w:eastAsia="仿宋_GB2312" w:cs="仿宋_GB2312"/>
          <w:color w:val="000000"/>
          <w:sz w:val="28"/>
          <w:szCs w:val="28"/>
        </w:rPr>
        <w:t xml:space="preserve">  </w:t>
      </w:r>
      <w:r>
        <w:rPr>
          <w:rFonts w:hint="eastAsia" w:ascii="Times New Roman" w:hAnsi="Times New Roman" w:eastAsia="仿宋_GB2312" w:cs="仿宋_GB2312"/>
          <w:color w:val="000000"/>
          <w:sz w:val="28"/>
          <w:szCs w:val="28"/>
        </w:rPr>
        <w:t xml:space="preserve"> </w:t>
      </w:r>
      <w:r>
        <w:rPr>
          <w:rFonts w:ascii="Times New Roman" w:hAnsi="Times New Roman" w:eastAsia="仿宋_GB2312" w:cs="仿宋_GB2312"/>
          <w:color w:val="000000"/>
          <w:sz w:val="28"/>
          <w:szCs w:val="28"/>
        </w:rPr>
        <w:t xml:space="preserve"> </w:t>
      </w:r>
      <w:r>
        <w:rPr>
          <w:rFonts w:hint="default" w:ascii="Times New Roman" w:hAnsi="Times New Roman" w:eastAsia="仿宋_GB2312" w:cs="Times New Roman"/>
          <w:color w:val="000000"/>
          <w:sz w:val="28"/>
          <w:szCs w:val="28"/>
        </w:rPr>
        <w:t>20</w:t>
      </w:r>
      <w:r>
        <w:rPr>
          <w:rFonts w:hint="eastAsia" w:ascii="Times New Roman" w:hAnsi="Times New Roman" w:eastAsia="仿宋_GB2312" w:cs="Times New Roman"/>
          <w:color w:val="000000"/>
          <w:sz w:val="28"/>
          <w:szCs w:val="28"/>
          <w:lang w:val="en-US" w:eastAsia="zh-CN"/>
        </w:rPr>
        <w:t>25</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27</w:t>
      </w:r>
      <w:r>
        <w:rPr>
          <w:rFonts w:hint="default" w:ascii="Times New Roman" w:hAnsi="Times New Roman" w:eastAsia="仿宋_GB2312" w:cs="Times New Roman"/>
          <w:color w:val="000000"/>
          <w:sz w:val="28"/>
          <w:szCs w:val="28"/>
        </w:rPr>
        <w:t>日印发</w:t>
      </w:r>
    </w:p>
    <w:sectPr>
      <w:footerReference r:id="rId8" w:type="default"/>
      <w:pgSz w:w="11906" w:h="16838"/>
      <w:pgMar w:top="2098" w:right="1474"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A0A9E2-4756-4F02-9B3B-FAB229CE283B}"/>
  </w:font>
  <w:font w:name="黑体">
    <w:panose1 w:val="02010609060101010101"/>
    <w:charset w:val="86"/>
    <w:family w:val="auto"/>
    <w:pitch w:val="default"/>
    <w:sig w:usb0="800002BF" w:usb1="38CF7CFA" w:usb2="00000016" w:usb3="00000000" w:csb0="00040001" w:csb1="00000000"/>
    <w:embedRegular r:id="rId2" w:fontKey="{6ED023CE-1242-48F3-8EC5-1D7894A75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7AC0142-A03F-4B36-B132-2B39F94FC771}"/>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C1D35A95-E29A-447C-A2CD-BB512CCCCC04}"/>
  </w:font>
  <w:font w:name="仿宋_GB2312">
    <w:altName w:val="仿宋"/>
    <w:panose1 w:val="02010609030101010101"/>
    <w:charset w:val="86"/>
    <w:family w:val="auto"/>
    <w:pitch w:val="default"/>
    <w:sig w:usb0="00000000" w:usb1="00000000" w:usb2="00000000" w:usb3="00000000" w:csb0="00040000" w:csb1="00000000"/>
    <w:embedRegular r:id="rId5" w:fontKey="{634E29AA-31CD-4592-96AF-F6D5C90A3B7A}"/>
  </w:font>
  <w:font w:name="楷体_GB2312">
    <w:altName w:val="楷体"/>
    <w:panose1 w:val="02010609030101010101"/>
    <w:charset w:val="86"/>
    <w:family w:val="auto"/>
    <w:pitch w:val="default"/>
    <w:sig w:usb0="00000000" w:usb1="00000000" w:usb2="00000000" w:usb3="00000000" w:csb0="00040000" w:csb1="00000000"/>
    <w:embedRegular r:id="rId6" w:fontKey="{081D170C-AA86-4EC2-85AA-3363AD9FE62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C0E4">
    <w:pPr>
      <w:pStyle w:val="2"/>
      <w:spacing w:line="297" w:lineRule="exact"/>
      <w:ind w:left="7275"/>
      <w:rPr>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-74930</wp:posOffset>
              </wp:positionV>
              <wp:extent cx="918845" cy="32893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18845" cy="328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6A437">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pt;height:25.9pt;width:72.35pt;mso-position-horizontal:outside;mso-position-horizontal-relative:margin;z-index:251660288;mso-width-relative:page;mso-height-relative:page;" filled="f" stroked="f" coordsize="21600,21600" o:gfxdata="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0g7N9UAAAAHAQAADwAAAAAAAAABACAAAAAiAAAAZHJzL2Rvd25yZXYu&#10;eG1sUEsBAhQAFAAAAAgAh07iQJg7krg3AgAAYwQAAA4AAAAAAAAAAQAgAAAAJAEAAGRycy9lMm9E&#10;b2MueG1sUEsFBgAAAAAGAAYAWQEAAM0FAAAAAA==&#10;">
              <v:fill on="f" focussize="0,0"/>
              <v:stroke on="f" weight="0.5pt"/>
              <v:imagedata o:title=""/>
              <o:lock v:ext="edit" aspectratio="f"/>
              <v:textbox inset="0mm,0mm,0mm,0mm">
                <w:txbxContent>
                  <w:p w14:paraId="4666A437">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B5DA">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-74930</wp:posOffset>
              </wp:positionV>
              <wp:extent cx="900430" cy="2476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0043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CA5CC">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pt;height:19.5pt;width:70.9pt;mso-position-horizontal:outside;mso-position-horizontal-relative:margin;z-index:251661312;mso-width-relative:page;mso-height-relative:page;" filled="f" stroked="f" coordsize="21600,21600" o:gfxdata="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dMND1QAAAAcBAAAPAAAAAAAAAAEAIAAAACIAAABkcnMvZG93bnJldi54&#10;bWxQSwECFAAUAAAACACHTuJA77RIfjYCAABjBAAADgAAAAAAAAABACAAAAAkAQAAZHJzL2Uyb0Rv&#10;Yy54bWxQSwUGAAAAAAYABgBZAQAAzAUAAAAA&#10;">
              <v:fill on="f" focussize="0,0"/>
              <v:stroke on="f" weight="0.5pt"/>
              <v:imagedata o:title=""/>
              <o:lock v:ext="edit" aspectratio="f"/>
              <v:textbox inset="0mm,0mm,0mm,0mm">
                <w:txbxContent>
                  <w:p w14:paraId="0C3CA5CC">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896C">
    <w:pPr>
      <w:pStyle w:val="2"/>
      <w:spacing w:line="294" w:lineRule="exact"/>
      <w:ind w:left="7310"/>
      <w:rPr>
        <w:sz w:val="26"/>
        <w:szCs w:val="26"/>
      </w:rPr>
    </w:pPr>
    <w:r>
      <w:rPr>
        <w:sz w:val="2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-74930</wp:posOffset>
              </wp:positionV>
              <wp:extent cx="965200" cy="3016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65200"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B543A">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pt;height:23.75pt;width:76pt;mso-position-horizontal:outside;mso-position-horizontal-relative:margin;z-index:251662336;mso-width-relative:page;mso-height-relative:page;" filled="f" stroked="f" coordsize="21600,21600" o:gfxdata="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8EBovVAAAABwEAAA8AAAAAAAAAAQAgAAAAIgAAAGRycy9kb3ducmV2&#10;LnhtbFBLAQIUABQAAAAIAIdO4kDQ71gCOAIAAGMEAAAOAAAAAAAAAAEAIAAAACQBAABkcnMvZTJv&#10;RG9jLnhtbFBLBQYAAAAABgAGAFkBAADOBQAAAAA=&#10;">
              <v:fill on="f" focussize="0,0"/>
              <v:stroke on="f" weight="0.5pt"/>
              <v:imagedata o:title=""/>
              <o:lock v:ext="edit" aspectratio="f"/>
              <v:textbox inset="0mm,0mm,0mm,0mm">
                <w:txbxContent>
                  <w:p w14:paraId="23FB543A">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741A">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-74930</wp:posOffset>
              </wp:positionV>
              <wp:extent cx="1040130" cy="29083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4013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A1F7F">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pt;height:22.9pt;width:81.9pt;mso-position-horizontal:outside;mso-position-horizontal-relative:margin;z-index:251663360;mso-width-relative:page;mso-height-relative:page;" filled="f" stroked="f" coordsize="21600,21600" o:gfxdata="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9GDC1QAAAAcBAAAPAAAAAAAAAAEAIAAAACIAAABkcnMvZG93bnJldi54&#10;bWxQSwECFAAUAAAACACHTuJAQ8/VfzYCAABkBAAADgAAAAAAAAABACAAAAAkAQAAZHJzL2Uyb0Rv&#10;Yy54bWxQSwUGAAAAAAYABgBZAQAAzAUAAAAA&#10;">
              <v:fill on="f" focussize="0,0"/>
              <v:stroke on="f" weight="0.5pt"/>
              <v:imagedata o:title=""/>
              <o:lock v:ext="edit" aspectratio="f"/>
              <v:textbox inset="0mm,0mm,0mm,0mm">
                <w:txbxContent>
                  <w:p w14:paraId="41FA1F7F">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050B9">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-74930</wp:posOffset>
              </wp:positionV>
              <wp:extent cx="964565" cy="3016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64565"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8F735">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pt;height:23.75pt;width:75.95pt;mso-position-horizontal:outside;mso-position-horizontal-relative:margin;z-index:251664384;mso-width-relative:page;mso-height-relative:page;" filled="f" stroked="f" coordsize="21600,21600" o:gfxdata="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ztYl1QAAAAcBAAAPAAAAAAAAAAEAIAAAACIAAABkcnMvZG93bnJl&#10;di54bWxQSwECFAAUAAAACACHTuJAPUkyVjkCAABjBAAADgAAAAAAAAABACAAAAAkAQAAZHJzL2Uy&#10;b0RvYy54bWxQSwUGAAAAAAYABgBZAQAAzwUAAAAA&#10;">
              <v:fill on="f" focussize="0,0"/>
              <v:stroke on="f" weight="0.5pt"/>
              <v:imagedata o:title=""/>
              <o:lock v:ext="edit" aspectratio="f"/>
              <v:textbox inset="0mm,0mm,0mm,0mm">
                <w:txbxContent>
                  <w:p w14:paraId="2B58F735">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DBAE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64367"/>
    <w:rsid w:val="3066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customStyle="1" w:styleId="8">
    <w:name w:val="Table Text"/>
    <w:basedOn w:val="1"/>
    <w:semiHidden/>
    <w:qFormat/>
    <w:uiPriority w:val="0"/>
    <w:rPr>
      <w:rFonts w:ascii="微软雅黑" w:hAnsi="微软雅黑" w:eastAsia="微软雅黑" w:cs="微软雅黑"/>
      <w:sz w:val="26"/>
      <w:szCs w:val="26"/>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2025-03-31T02:20:00Z</dcterms:created>
  <dc:creator>行之</dc:creator>
  <cp:lastModifiedBy>行之</cp:lastModifiedBy>
  <dcterms:modified xsi:type="dcterms:W3CDTF">2025-03-31T02:21:18Z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FEE0EA15941B4A2FA30D4D5CB6602F8B_11</vt:lpwstr>
  </property>
  <property fmtid="{D5CDD505-2E9C-101B-9397-08002B2CF9AE}" pid="4" name="KSOTemplateDocerSaveRecord">
    <vt:lpwstr>eyJoZGlkIjoiODA0NTQxM2UyMWMyOTQyMjljNWUyMWM2MGY0MTUxNTAiLCJ1c2VySWQiOiIzNTA3MzY2MTIifQ==</vt:lpwstr>
  </property>
</Properties>
</file>