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16"/>
        <w:gridCol w:w="1345"/>
        <w:gridCol w:w="3044"/>
        <w:gridCol w:w="794"/>
        <w:gridCol w:w="637"/>
        <w:gridCol w:w="664"/>
        <w:gridCol w:w="1514"/>
        <w:gridCol w:w="625"/>
      </w:tblGrid>
      <w:tr w14:paraId="557B70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B9D2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 w14:paraId="51FC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FFB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F5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73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C2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DB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75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59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9AF08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山东省驻济省（部）属和军队公立医疗机构部分医疗服务项目价格</w:t>
            </w:r>
            <w:bookmarkEnd w:id="0"/>
          </w:p>
        </w:tc>
      </w:tr>
      <w:tr w14:paraId="406890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0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7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8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1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F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3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6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价格(元)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E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19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是否纳入医保</w:t>
            </w:r>
          </w:p>
        </w:tc>
      </w:tr>
      <w:tr w14:paraId="7886CF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D4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250203088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D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肝素结合蛋白测定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样本类型：血液。样本采集、签收、处理，加免疫试剂，检测，质控，审核结果，录入实验室信息系统或人工登记，发送报告；按规定处理废弃物；接受临床相关咨询。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11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7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8C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0C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BEF64C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F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250203089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抗Xa因子活性测定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5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样本类型：血液。样本采集、签收、处理，检测样本，审核结果，录入实验室信息系统或人工登记，发送报告；按规定处理废弃物；接受临床相关咨询。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8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A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5C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BD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EDC3A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8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4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250501046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E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真菌荧光染色镜检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F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样本类型：各种标本。采样制片，染色，镜检，审核结果，录入实验室信息系统或人工登记，发送报告；按规定处理废弃物；接受临床相关咨询。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4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5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26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0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B2DA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3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7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280100002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淋巴细胞微核率检测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4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型：外周血。样本采集、签收、处理，经培养、收获、制片、染片等步骤，镜下分析，计数包含：微核率、微核细胞率、淋巴细胞转化率，审核结果，录入实验室信息系统或人工登记，发送报告；按规定处理废弃物；接受临床相关咨询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FB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43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D04EEB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F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280100003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2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外周血淋巴细胞染色体畸变检测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E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型：外周血。样本采集、签收、处理，经培养、收获、制片、染片等步骤，镜下分析，计数包含：畸变细胞率（染色体型畸变）、双着丝粒染色体率、环状染色体率、不带断片的环状染色体率、无着丝粒片段率、相互易位率、倒位率、染色单体型畸变率(%)，审核结果，录入实验室信息系统或人工登记，发送报告；按规定处理废弃物；接受临床相关咨询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C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E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1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7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75DFA4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4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7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330404015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B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舒莱姆氏管（Schlemm，s管）成形术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，消毒铺巾，开睑，置手术贴膜，在手术显微镜下做透明角膜切口及透明角膜辅助切口，透明角膜切口注入粘弹剂，房角镜辅助下行Schlemm's管切开，微导管插入Schlemm's断端，顺Schlemm's管走形360°，牵拉切开Schlemm’s管内侧壁，缝合透明角膜切口，点眼，包扎术眼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46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4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0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0B9ED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C3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3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310300100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6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前房穿刺术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4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包括前房冲洗术、角膜层间冲洗术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D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编码330404017停用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A4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44BC8D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450000016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A0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三维平衡正脊治疗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A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适用于颈椎间盘突出症和腰椎间盘突出症（可伴有椎管狭窄）。患者俯卧位，在脊柱两侧膀胱经、痛点及肌痉挛处操作，配合上下肢被动运动，松解脊柱周围粘连，减轻椎间盘内压。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2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1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A1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572E9A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F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5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120300004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高流量湿化氧疗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8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评估患者病情，核对医嘱及患者信息，安装管路及湿化罐，连接氧源，调节吸入气体流速、温度及氧浓度，严密监测患者病情及缺氧缓解程度，做好各项护理及记录。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9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呼吸管路、面罩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D1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D88C1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3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B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310603004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4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俯卧位辅助通气治疗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用于低氧血症病人。摆放患者体位，固定各种导管，对易受压部位进行皮肤保护，监测心电、机械通气等的各项指标，确保患者的安全。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C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B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6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限重症监护室使用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8DB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BC42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3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A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310604008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岩盐气溶胶治疗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6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将岩盐配料经过研磨生成1-5微米的微粒后弥散在空气中与之发生空气离子化形成岩盐气溶胶，达到一定浓度后由患者吸入，从而改善呼吸症状和促进黏膜纤毛的廓清作用，用以治疗呼吸系统疾病。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2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8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C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92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18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1A6529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6D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111000005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多学科门诊会诊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对疑难复杂疾病患者，由两个及以上多个相关学科专家共同检查病人、分析病情，制定诊查治疗方案。由相对固定的专家组成工作组，针对某一疾病，通过定时、定址的会议，提出适当、综合的诊疗意见。详细询问患者病史，查阅实验室及影像学资料，讨论分析病情，对患者病情进行综合评估，确定最佳的综合序贯诊治方案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F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C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指三个学科，两个学科收400元。每增加一个学科加收100元。限医师使用。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62F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6C36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C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1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310401053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3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视频头脉冲试验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入患者信息，讲解试验要求。挑选合适鼻托，佩戴检查眼镜，调整至瞳孔清晰可见，运行机器进行校准。患者紧盯视靶，操作人员快速甩动患者头部向特定方向10-20次（不同速度）以评估特定半规管通路的功能，共评估6个半规管。移除检查眼镜，制作及打印报告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A0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FEA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0626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D2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1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330603008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支撑喉镜下梨状窝瘘内瘘口封闭术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D0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全麻，消毒铺巾，支撑喉镜暴露梨状窝内瘘口，在显微镜直视下，烧灼内瘘口后，切开内瘘口粘膜，缝合创缘，封闭内瘘口。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36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E2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2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E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0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246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D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3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330202011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A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面神经松懈减压术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含腮腺浅叶切除；包括面神经周围支支配的外周部分；包括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枕大神经减压术、 耳颞神经减压术。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17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E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9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枕大神经减压术2200元、 耳颞神经减压术1500元。编码311600007、311600008停用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51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ABC6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9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F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320600013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2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脑血管腔内血栓取出术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麻，穿刺股动脉，在导丝的指引下将造影导管置于主动脉弓进行造影，发现颅内外大血管闭塞部位，在微导丝指引下将中间导管置于大脑闭塞血管，通过微导管将取栓器置于血栓处，应用取栓器、抽吸等方式行血管再通治疗，造影复查，穿刺点压迫包扎，人工报告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7B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颅内取栓器，血流重建装置和传送系统，颅内支撑导管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B0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B0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4620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95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DFDCE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2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331506001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9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肩锁关节脱位切开复位内固定术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F5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含韧带重建术；包括肩锁关节成形、韧带重建术。包括胸锁关节脱位切开复位内固定术。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23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9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5B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55E09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6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3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311000041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体外物理振动排石治疗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5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B超定位，准备，调整患者体位，根据结石走向，顺走向轻推主振子，完成主动排石过程。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6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0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C2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081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2B8F4D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6329269-58D2-4B0C-B40F-C03DF62C617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97D66A-AD3C-4E16-953D-84B637639A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TQxM2UyMWMyOTQyMjljNWUyMWM2MGY0MTUxNTAifQ=="/>
  </w:docVars>
  <w:rsids>
    <w:rsidRoot w:val="59373D2D"/>
    <w:rsid w:val="5937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2024-08-21T01:21:00Z</dcterms:created>
  <dc:creator>行之</dc:creator>
  <cp:lastModifiedBy>行之</cp:lastModifiedBy>
  <dcterms:modified xsi:type="dcterms:W3CDTF">2024-08-21T01:21:48Z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813CF8A3DB994A929C4AF4231191AF48_11</vt:lpwstr>
  </property>
</Properties>
</file>