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Cs w:val="32"/>
          <w14:textFill>
            <w14:solidFill>
              <w14:schemeClr w14:val="tx1"/>
            </w14:solidFill>
          </w14:textFill>
        </w:rPr>
        <w:t>附件2</w:t>
      </w:r>
    </w:p>
    <w:p>
      <w:pPr>
        <w:pStyle w:val="2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方正小标宋简体"/>
          <w:color w:val="000000" w:themeColor="text1"/>
          <w:kern w:val="0"/>
          <w:sz w:val="44"/>
          <w:szCs w:val="44"/>
          <w:lang w:bidi="ar"/>
          <w14:textFill>
            <w14:solidFill>
              <w14:schemeClr w14:val="tx1"/>
            </w14:solidFill>
          </w14:textFill>
        </w:rPr>
        <w:t>药学类医疗服务价格项目监测评估指标</w:t>
      </w:r>
    </w:p>
    <w:tbl>
      <w:tblPr>
        <w:tblStyle w:val="5"/>
        <w:tblpPr w:leftFromText="180" w:rightFromText="180" w:vertAnchor="text" w:horzAnchor="page" w:tblpXSpec="center" w:tblpY="304"/>
        <w:tblOverlap w:val="never"/>
        <w:tblW w:w="50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2267"/>
        <w:gridCol w:w="4661"/>
        <w:gridCol w:w="5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400" w:type="pct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一级</w:t>
            </w:r>
          </w:p>
          <w:p>
            <w:pPr>
              <w:spacing w:line="440" w:lineRule="exact"/>
              <w:jc w:val="center"/>
              <w:rPr>
                <w:rFonts w:ascii="黑体" w:hAnsi="黑体" w:eastAsia="黑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823" w:type="pct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692" w:type="pct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指标说明</w:t>
            </w:r>
          </w:p>
        </w:tc>
        <w:tc>
          <w:tcPr>
            <w:tcW w:w="2085" w:type="pct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计算方法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" w:type="pct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cs="宋体"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服务量</w:t>
            </w:r>
          </w:p>
        </w:tc>
        <w:tc>
          <w:tcPr>
            <w:tcW w:w="823" w:type="pct"/>
            <w:vAlign w:val="center"/>
          </w:tcPr>
          <w:p>
            <w:pPr>
              <w:spacing w:line="440" w:lineRule="exact"/>
              <w:jc w:val="center"/>
              <w:rPr>
                <w:rFonts w:cs="宋体"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药学门诊接诊人次</w:t>
            </w:r>
          </w:p>
        </w:tc>
        <w:tc>
          <w:tcPr>
            <w:tcW w:w="1692" w:type="pct"/>
            <w:vAlign w:val="center"/>
          </w:tcPr>
          <w:p>
            <w:pPr>
              <w:spacing w:line="440" w:lineRule="exact"/>
              <w:jc w:val="left"/>
              <w:rPr>
                <w:rFonts w:cs="宋体"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“药学门诊诊察”项目开展例数</w:t>
            </w:r>
          </w:p>
        </w:tc>
        <w:tc>
          <w:tcPr>
            <w:tcW w:w="2085" w:type="pct"/>
            <w:vAlign w:val="center"/>
          </w:tcPr>
          <w:p>
            <w:pPr>
              <w:spacing w:line="440" w:lineRule="exact"/>
              <w:jc w:val="left"/>
              <w:rPr>
                <w:rFonts w:cs="宋体"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所有门诊药师开展独立门诊接诊总人次数/季度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" w:type="pct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cs="宋体"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3" w:type="pct"/>
            <w:vAlign w:val="center"/>
          </w:tcPr>
          <w:p>
            <w:pPr>
              <w:spacing w:line="440" w:lineRule="exact"/>
              <w:jc w:val="center"/>
              <w:rPr>
                <w:rFonts w:cs="宋体"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住院诊察服务人次</w:t>
            </w:r>
          </w:p>
        </w:tc>
        <w:tc>
          <w:tcPr>
            <w:tcW w:w="1692" w:type="pct"/>
            <w:vAlign w:val="center"/>
          </w:tcPr>
          <w:p>
            <w:pPr>
              <w:spacing w:line="440" w:lineRule="exact"/>
              <w:jc w:val="left"/>
              <w:rPr>
                <w:rFonts w:cs="宋体"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“住院诊察费”项目开展例数</w:t>
            </w:r>
          </w:p>
        </w:tc>
        <w:tc>
          <w:tcPr>
            <w:tcW w:w="2085" w:type="pct"/>
            <w:vAlign w:val="center"/>
          </w:tcPr>
          <w:p>
            <w:pPr>
              <w:spacing w:line="440" w:lineRule="exact"/>
              <w:jc w:val="left"/>
              <w:rPr>
                <w:rFonts w:cs="宋体"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住院药师开展住院诊查服务（包括协同制定个体化药物治疗方案、用药重整、药学监护、用药指导）的总人次数/季度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" w:type="pct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cs="宋体"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3" w:type="pct"/>
            <w:vAlign w:val="center"/>
          </w:tcPr>
          <w:p>
            <w:pPr>
              <w:spacing w:line="440" w:lineRule="exact"/>
              <w:jc w:val="center"/>
              <w:rPr>
                <w:rFonts w:cs="宋体"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院内会诊服务人次</w:t>
            </w:r>
          </w:p>
        </w:tc>
        <w:tc>
          <w:tcPr>
            <w:tcW w:w="1692" w:type="pct"/>
            <w:vAlign w:val="center"/>
          </w:tcPr>
          <w:p>
            <w:pPr>
              <w:spacing w:line="440" w:lineRule="exact"/>
              <w:jc w:val="left"/>
              <w:rPr>
                <w:rFonts w:cs="宋体"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“院内会诊”项目开展例数</w:t>
            </w:r>
          </w:p>
        </w:tc>
        <w:tc>
          <w:tcPr>
            <w:tcW w:w="2085" w:type="pct"/>
            <w:vAlign w:val="center"/>
          </w:tcPr>
          <w:p>
            <w:pPr>
              <w:spacing w:line="440" w:lineRule="exact"/>
              <w:jc w:val="left"/>
              <w:rPr>
                <w:rFonts w:cs="宋体"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药师参与会诊总人次数/季度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" w:type="pct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cs="宋体"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安全性</w:t>
            </w:r>
          </w:p>
        </w:tc>
        <w:tc>
          <w:tcPr>
            <w:tcW w:w="823" w:type="pct"/>
            <w:vAlign w:val="center"/>
          </w:tcPr>
          <w:p>
            <w:pPr>
              <w:spacing w:line="440" w:lineRule="exact"/>
              <w:jc w:val="center"/>
              <w:rPr>
                <w:rFonts w:cs="宋体"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干预例数</w:t>
            </w:r>
          </w:p>
        </w:tc>
        <w:tc>
          <w:tcPr>
            <w:tcW w:w="1692" w:type="pct"/>
            <w:vAlign w:val="center"/>
          </w:tcPr>
          <w:p>
            <w:pPr>
              <w:spacing w:line="440" w:lineRule="exact"/>
              <w:jc w:val="left"/>
              <w:rPr>
                <w:rFonts w:cs="宋体"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纠正不合理用药例数</w:t>
            </w:r>
          </w:p>
        </w:tc>
        <w:tc>
          <w:tcPr>
            <w:tcW w:w="2085" w:type="pct"/>
            <w:vAlign w:val="center"/>
          </w:tcPr>
          <w:p>
            <w:pPr>
              <w:spacing w:line="440" w:lineRule="exact"/>
              <w:jc w:val="left"/>
              <w:rPr>
                <w:rFonts w:cs="宋体"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临床药师提出的用药干预人次数/季度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" w:type="pct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cs="宋体"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3" w:type="pct"/>
            <w:vAlign w:val="center"/>
          </w:tcPr>
          <w:p>
            <w:pPr>
              <w:spacing w:line="440" w:lineRule="exact"/>
              <w:jc w:val="center"/>
              <w:rPr>
                <w:rFonts w:cs="宋体"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不良反应处理例数</w:t>
            </w:r>
          </w:p>
        </w:tc>
        <w:tc>
          <w:tcPr>
            <w:tcW w:w="1692" w:type="pct"/>
            <w:vAlign w:val="center"/>
          </w:tcPr>
          <w:p>
            <w:pPr>
              <w:spacing w:line="440" w:lineRule="exact"/>
              <w:jc w:val="left"/>
              <w:rPr>
                <w:rFonts w:cs="宋体"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发现不良反应及时上报处理例数</w:t>
            </w:r>
          </w:p>
        </w:tc>
        <w:tc>
          <w:tcPr>
            <w:tcW w:w="2085" w:type="pct"/>
            <w:vAlign w:val="center"/>
          </w:tcPr>
          <w:p>
            <w:pPr>
              <w:spacing w:line="440" w:lineRule="exact"/>
              <w:jc w:val="left"/>
              <w:rPr>
                <w:rFonts w:cs="宋体"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临床药师发现并上报的不良反应例数/季度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" w:type="pct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cs="宋体"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经济性</w:t>
            </w:r>
          </w:p>
        </w:tc>
        <w:tc>
          <w:tcPr>
            <w:tcW w:w="823" w:type="pct"/>
            <w:vAlign w:val="center"/>
          </w:tcPr>
          <w:p>
            <w:pPr>
              <w:spacing w:line="440" w:lineRule="exact"/>
              <w:jc w:val="center"/>
              <w:rPr>
                <w:rFonts w:cs="宋体"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使用国家基本药物例数</w:t>
            </w:r>
          </w:p>
        </w:tc>
        <w:tc>
          <w:tcPr>
            <w:tcW w:w="1692" w:type="pct"/>
            <w:vAlign w:val="center"/>
          </w:tcPr>
          <w:p>
            <w:pPr>
              <w:spacing w:line="440" w:lineRule="exact"/>
              <w:jc w:val="left"/>
              <w:rPr>
                <w:rFonts w:cs="宋体"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药师在门诊和住院诊察中服务患者使用的国家基本药物例数</w:t>
            </w:r>
          </w:p>
        </w:tc>
        <w:tc>
          <w:tcPr>
            <w:tcW w:w="2085" w:type="pct"/>
            <w:vAlign w:val="center"/>
          </w:tcPr>
          <w:p>
            <w:pPr>
              <w:spacing w:line="440" w:lineRule="exact"/>
              <w:jc w:val="left"/>
              <w:rPr>
                <w:rFonts w:cs="宋体"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药师在门诊和住院诊察中服务患者使用的国家基本药物人次数/季度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" w:type="pct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cs="宋体"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3" w:type="pct"/>
            <w:vAlign w:val="center"/>
          </w:tcPr>
          <w:p>
            <w:pPr>
              <w:spacing w:line="440" w:lineRule="exact"/>
              <w:jc w:val="center"/>
              <w:rPr>
                <w:rFonts w:cs="宋体"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使用集采药品例数</w:t>
            </w:r>
          </w:p>
        </w:tc>
        <w:tc>
          <w:tcPr>
            <w:tcW w:w="1692" w:type="pct"/>
            <w:vAlign w:val="center"/>
          </w:tcPr>
          <w:p>
            <w:pPr>
              <w:spacing w:line="440" w:lineRule="exact"/>
              <w:jc w:val="left"/>
              <w:rPr>
                <w:rFonts w:cs="宋体"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药师在门诊和住院诊察中服务患者使用的集采药品例数</w:t>
            </w:r>
          </w:p>
        </w:tc>
        <w:tc>
          <w:tcPr>
            <w:tcW w:w="2085" w:type="pct"/>
            <w:vAlign w:val="center"/>
          </w:tcPr>
          <w:p>
            <w:pPr>
              <w:spacing w:line="440" w:lineRule="exact"/>
              <w:jc w:val="left"/>
              <w:rPr>
                <w:rFonts w:cs="宋体"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药师在门诊和住院诊察服务中，使用集采药品的患者人次数/季度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" w:type="pct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cs="宋体"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3" w:type="pct"/>
            <w:vAlign w:val="center"/>
          </w:tcPr>
          <w:p>
            <w:pPr>
              <w:spacing w:line="440" w:lineRule="exact"/>
              <w:jc w:val="center"/>
              <w:rPr>
                <w:rFonts w:cs="宋体"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2" w:type="pct"/>
            <w:vAlign w:val="center"/>
          </w:tcPr>
          <w:p>
            <w:pPr>
              <w:spacing w:line="440" w:lineRule="exact"/>
              <w:jc w:val="left"/>
              <w:rPr>
                <w:rFonts w:cs="宋体"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所有处方的处方合格率</w:t>
            </w:r>
          </w:p>
        </w:tc>
        <w:tc>
          <w:tcPr>
            <w:tcW w:w="2085" w:type="pct"/>
            <w:vAlign w:val="center"/>
          </w:tcPr>
          <w:p>
            <w:pPr>
              <w:spacing w:line="440" w:lineRule="exact"/>
              <w:jc w:val="left"/>
              <w:rPr>
                <w:rFonts w:cs="宋体"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合格的处方数/所有处方数*100%</w:t>
            </w: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  <w:sectPr>
          <w:footerReference r:id="rId3" w:type="default"/>
          <w:pgSz w:w="16838" w:h="11906" w:orient="landscape"/>
          <w:pgMar w:top="1531" w:right="2098" w:bottom="1531" w:left="1417" w:header="851" w:footer="992" w:gutter="0"/>
          <w:cols w:space="0" w:num="1"/>
          <w:docGrid w:type="lines" w:linePitch="465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-142875</wp:posOffset>
              </wp:positionV>
              <wp:extent cx="1057275" cy="39052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7275" cy="390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jc w:val="center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25pt;height:30.75pt;width:83.25pt;mso-position-horizontal:left;mso-position-horizontal-relative:margin;z-index:251659264;mso-width-relative:page;mso-height-relative:page;" filled="f" stroked="f" coordsize="21600,21600" o:gfxdata="UEsDBAoAAAAAAIdO4kAAAAAAAAAAAAAAAAAEAAAAZHJzL1BLAwQUAAAACACHTuJAOF8VdNYAAAAH&#10;AQAADwAAAGRycy9kb3ducmV2LnhtbE2PO0/EMBCEeyT+g7VIdHd2goggZHMFj47nARJ0TmySCHsd&#10;xZvc8e/xVdDtaEYz31abvXdisVMcAiFkawXCUhvMQB3C2+vd6gJEZE1Gu0AW4cdG2NTHR5UuTdjR&#10;i1223IlUQrHUCD3zWEoZ2956HddhtJS8rzB5zUlOnTST3qVy72SuVCG9Higt9Hq0171tv7ezR3Af&#10;cbpvFH8uN90DPz/J+f02e0Q8PcnUFQi2e/4LwwE/oUOdmJowk4nCIaRHGGGV5+cgDnZRpKNBOLtU&#10;IOtK/uevfwFQSwMEFAAAAAgAh07iQBz6/fUyAgAAVgQAAA4AAABkcnMvZTJvRG9jLnhtbK1UwY7T&#10;MBC9I/EPlu80aVfdharpqmxVhLRiVyqIs+s4jSXbY2y3SfkA+ANOe+HOd/U7GDtJFy0c9sDFnXjG&#10;b/zePHd+3WpFDsJ5Caag41FOiTAcSml2Bf30cf3qNSU+MFMyBUYU9Cg8vV68fDFv7ExMoAZVCkcQ&#10;xPhZYwtah2BnWeZ5LTTzI7DCYLICp1nAT7fLSscaRNcqm+T5ZdaAK60DLrzH3VWXpD2iew4gVJXk&#10;YgV8r4UJHaoTigWk5GtpPV2k21aV4OGuqrwIRBUUmYa0YhOMt3HNFnM22zlma8n7K7DnXOEJJ82k&#10;waZnqBULjOyd/AtKS+7AQxVGHHTWEUmKIItx/kSbTc2sSFxQam/Povv/B8s/HO4dkWVBJ5QYpnHg&#10;px/fTw+/Tj+/kUmUp7F+hlUbi3WhfQstmmbY97gZWbeV0/EX+RDMo7jHs7iiDYTHQ/n0anI1pYRj&#10;7uJNPp1MI0z2eNo6H94J0CQGBXU4vKQpO9z60JUOJbGZgbVUKg1QGdIU9PJimqcD5wyCK4M9Iofu&#10;rjEK7bbtiW2hPCIvB50xvOVric1vmQ/3zKETkAq+lXCHS6UAm0AfUVKD+/qv/ViPA8IsJQ06q6D+&#10;y545QYl6b3B00YZD4IZgOwRmr28AzTrGV2h5CvGAC2oIKwf6Mz6hZeyCKWY49ipoGMKb0PkbnyAX&#10;y2UqQrNZFm7NxvII3cm33AeoZFI2ytJp0auFdkuz6Z9G9POf36nq8e9g8R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4XxV01gAAAAcBAAAPAAAAAAAAAAEAIAAAACIAAABkcnMvZG93bnJldi54bWxQ&#10;SwECFAAUAAAACACHTuJAHPr99TICAABW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jc w:val="center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xYTRkOTc3Y2I0Y2Q4MWQxZTE4NWQ5YjViYjZhZmQifQ=="/>
  </w:docVars>
  <w:rsids>
    <w:rsidRoot w:val="13E36587"/>
    <w:rsid w:val="13E3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0"/>
    <w:rPr>
      <w:rFonts w:ascii="Calibri" w:hAnsi="Calibri" w:eastAsia="宋体"/>
      <w:sz w:val="21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2024-05-07T02:44:00Z</dcterms:created>
  <dc:creator>shadows</dc:creator>
  <cp:lastModifiedBy>shadows</cp:lastModifiedBy>
  <dcterms:modified xsi:type="dcterms:W3CDTF">2024-05-07T03:20:30Z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7A3C2514DFAE4088A393ABA3B1794DB0_11</vt:lpwstr>
  </property>
</Properties>
</file>