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C1AC8">
      <w:pPr>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eastAsia" w:ascii="黑体" w:hAnsi="黑体" w:eastAsia="黑体" w:cs="黑体"/>
          <w:sz w:val="32"/>
          <w:szCs w:val="32"/>
          <w:highlight w:val="none"/>
          <w:lang w:eastAsia="zh-CN" w:bidi="ar"/>
        </w:rPr>
      </w:pPr>
      <w:r>
        <w:rPr>
          <w:rFonts w:hint="eastAsia" w:ascii="黑体" w:hAnsi="黑体" w:eastAsia="黑体" w:cs="黑体"/>
          <w:sz w:val="32"/>
          <w:szCs w:val="32"/>
          <w:highlight w:val="none"/>
          <w:lang w:bidi="ar"/>
        </w:rPr>
        <w:t>附件</w:t>
      </w:r>
      <w:r>
        <w:rPr>
          <w:rFonts w:hint="eastAsia" w:ascii="黑体" w:hAnsi="黑体" w:eastAsia="黑体" w:cs="黑体"/>
          <w:sz w:val="32"/>
          <w:szCs w:val="32"/>
          <w:highlight w:val="none"/>
          <w:lang w:val="en-US" w:eastAsia="zh-CN" w:bidi="ar"/>
        </w:rPr>
        <w:t>2</w:t>
      </w:r>
    </w:p>
    <w:p w14:paraId="7DE4ADD7">
      <w:pPr>
        <w:keepNext w:val="0"/>
        <w:keepLines w:val="0"/>
        <w:pageBreakBefore w:val="0"/>
        <w:kinsoku/>
        <w:overflowPunct/>
        <w:topLinePunct w:val="0"/>
        <w:autoSpaceDE/>
        <w:autoSpaceDN/>
        <w:bidi w:val="0"/>
        <w:adjustRightInd/>
        <w:snapToGrid/>
        <w:spacing w:line="590" w:lineRule="exact"/>
        <w:ind w:firstLine="880" w:firstLineChars="200"/>
        <w:jc w:val="center"/>
      </w:pPr>
      <w:bookmarkStart w:id="0" w:name="_GoBack"/>
      <w:r>
        <w:rPr>
          <w:rFonts w:hint="eastAsia" w:ascii="方正小标宋简体" w:hAnsi="方正小标宋简体" w:eastAsia="方正小标宋简体" w:cs="方正小标宋简体"/>
          <w:sz w:val="44"/>
          <w:szCs w:val="44"/>
          <w:highlight w:val="none"/>
          <w:lang w:bidi="ar"/>
        </w:rPr>
        <w:t>定点零售药店医保信用评价</w:t>
      </w:r>
      <w:r>
        <w:rPr>
          <w:rFonts w:hint="eastAsia" w:ascii="方正小标宋简体" w:hAnsi="方正小标宋简体" w:eastAsia="方正小标宋简体" w:cs="方正小标宋简体"/>
          <w:sz w:val="44"/>
          <w:szCs w:val="44"/>
          <w:highlight w:val="none"/>
          <w:lang w:eastAsia="zh-CN" w:bidi="ar"/>
        </w:rPr>
        <w:t>推荐</w:t>
      </w:r>
      <w:r>
        <w:rPr>
          <w:rFonts w:hint="eastAsia" w:ascii="方正小标宋简体" w:hAnsi="方正小标宋简体" w:eastAsia="方正小标宋简体" w:cs="方正小标宋简体"/>
          <w:sz w:val="44"/>
          <w:szCs w:val="44"/>
          <w:highlight w:val="none"/>
          <w:lang w:bidi="ar"/>
        </w:rPr>
        <w:t>指标</w:t>
      </w:r>
      <w:bookmarkEnd w:id="0"/>
    </w:p>
    <w:p w14:paraId="2583506F">
      <w:pPr>
        <w:pStyle w:val="2"/>
        <w:keepNext w:val="0"/>
        <w:keepLines w:val="0"/>
        <w:pageBreakBefore w:val="0"/>
        <w:widowControl w:val="0"/>
        <w:kinsoku/>
        <w:wordWrap/>
        <w:overflowPunct/>
        <w:topLinePunct w:val="0"/>
        <w:autoSpaceDE/>
        <w:autoSpaceDN/>
        <w:bidi w:val="0"/>
        <w:adjustRightInd/>
        <w:snapToGrid/>
        <w:spacing w:before="0" w:after="0" w:line="240" w:lineRule="exact"/>
        <w:ind w:firstLine="640" w:firstLineChars="200"/>
        <w:jc w:val="center"/>
        <w:textAlignment w:val="auto"/>
        <w:rPr>
          <w:rFonts w:hint="eastAsia" w:ascii="楷体_GB2312" w:hAnsi="楷体_GB2312" w:eastAsia="楷体_GB2312" w:cs="楷体_GB2312"/>
          <w:b w:val="0"/>
          <w:bCs w:val="0"/>
          <w:sz w:val="32"/>
          <w:szCs w:val="32"/>
          <w:lang w:eastAsia="zh-CN"/>
        </w:rPr>
      </w:pPr>
    </w:p>
    <w:tbl>
      <w:tblPr>
        <w:tblStyle w:val="4"/>
        <w:tblW w:w="4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62"/>
        <w:gridCol w:w="749"/>
        <w:gridCol w:w="1332"/>
        <w:gridCol w:w="1181"/>
        <w:gridCol w:w="8772"/>
      </w:tblGrid>
      <w:tr w14:paraId="04FE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62" w:type="pct"/>
            <w:noWrap w:val="0"/>
            <w:vAlign w:val="center"/>
          </w:tcPr>
          <w:p w14:paraId="60AF936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一级指标</w:t>
            </w:r>
          </w:p>
        </w:tc>
        <w:tc>
          <w:tcPr>
            <w:tcW w:w="316" w:type="pct"/>
            <w:noWrap w:val="0"/>
            <w:vAlign w:val="center"/>
          </w:tcPr>
          <w:p w14:paraId="330BC4D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二级指标</w:t>
            </w:r>
          </w:p>
        </w:tc>
        <w:tc>
          <w:tcPr>
            <w:tcW w:w="275" w:type="pct"/>
            <w:noWrap w:val="0"/>
            <w:vAlign w:val="center"/>
          </w:tcPr>
          <w:p w14:paraId="6F55F97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序号</w:t>
            </w:r>
          </w:p>
        </w:tc>
        <w:tc>
          <w:tcPr>
            <w:tcW w:w="489" w:type="pct"/>
            <w:noWrap w:val="0"/>
            <w:vAlign w:val="center"/>
          </w:tcPr>
          <w:p w14:paraId="498595B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三级指标</w:t>
            </w:r>
          </w:p>
        </w:tc>
        <w:tc>
          <w:tcPr>
            <w:tcW w:w="433" w:type="pct"/>
            <w:noWrap w:val="0"/>
            <w:vAlign w:val="center"/>
          </w:tcPr>
          <w:p w14:paraId="7C96AB3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指标性质</w:t>
            </w:r>
          </w:p>
        </w:tc>
        <w:tc>
          <w:tcPr>
            <w:tcW w:w="3222" w:type="pct"/>
            <w:noWrap w:val="0"/>
            <w:vAlign w:val="center"/>
          </w:tcPr>
          <w:p w14:paraId="6E9063F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评价内容及要求</w:t>
            </w:r>
          </w:p>
        </w:tc>
      </w:tr>
      <w:tr w14:paraId="55B7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restart"/>
            <w:noWrap/>
            <w:vAlign w:val="center"/>
          </w:tcPr>
          <w:p w14:paraId="7725BF7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5BABC86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7611094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65A6450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3F9647F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7E32D50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p w14:paraId="40FF015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p w14:paraId="51C59DA4">
            <w:pPr>
              <w:pStyle w:val="2"/>
              <w:rPr>
                <w:rFonts w:hint="eastAsia" w:ascii="仿宋_GB2312" w:hAnsi="仿宋_GB2312" w:eastAsia="仿宋_GB2312" w:cs="仿宋_GB2312"/>
                <w:color w:val="000000"/>
                <w:kern w:val="0"/>
                <w:sz w:val="22"/>
                <w:highlight w:val="none"/>
                <w:lang w:bidi="ar"/>
              </w:rPr>
            </w:pPr>
          </w:p>
          <w:p w14:paraId="45B8356A">
            <w:pPr>
              <w:rPr>
                <w:rFonts w:hint="eastAsia" w:ascii="仿宋_GB2312" w:hAnsi="仿宋_GB2312" w:eastAsia="仿宋_GB2312" w:cs="仿宋_GB2312"/>
                <w:color w:val="000000"/>
                <w:kern w:val="0"/>
                <w:sz w:val="22"/>
                <w:highlight w:val="none"/>
                <w:lang w:bidi="ar"/>
              </w:rPr>
            </w:pPr>
          </w:p>
          <w:p w14:paraId="2403386E">
            <w:pPr>
              <w:pStyle w:val="2"/>
              <w:rPr>
                <w:rFonts w:hint="eastAsia" w:ascii="仿宋_GB2312" w:hAnsi="仿宋_GB2312" w:eastAsia="仿宋_GB2312" w:cs="仿宋_GB2312"/>
                <w:color w:val="000000"/>
                <w:kern w:val="0"/>
                <w:sz w:val="22"/>
                <w:highlight w:val="none"/>
                <w:lang w:bidi="ar"/>
              </w:rPr>
            </w:pPr>
          </w:p>
          <w:p w14:paraId="0F31B974">
            <w:pPr>
              <w:rPr>
                <w:rFonts w:hint="eastAsia" w:ascii="仿宋_GB2312" w:hAnsi="仿宋_GB2312" w:eastAsia="仿宋_GB2312" w:cs="仿宋_GB2312"/>
                <w:color w:val="000000"/>
                <w:kern w:val="0"/>
                <w:sz w:val="22"/>
                <w:highlight w:val="none"/>
                <w:lang w:bidi="ar"/>
              </w:rPr>
            </w:pPr>
          </w:p>
          <w:p w14:paraId="18E10F6D">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2"/>
                <w:highlight w:val="none"/>
                <w:lang w:bidi="ar"/>
              </w:rPr>
            </w:pPr>
          </w:p>
          <w:p w14:paraId="48303C1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2"/>
                <w:highlight w:val="none"/>
                <w:lang w:bidi="ar"/>
              </w:rPr>
            </w:pPr>
          </w:p>
          <w:p w14:paraId="3FB302B0">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2"/>
                <w:highlight w:val="none"/>
                <w:lang w:bidi="ar"/>
              </w:rPr>
            </w:pPr>
          </w:p>
          <w:p w14:paraId="17387E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p>
          <w:p w14:paraId="2D161B96">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p>
          <w:p w14:paraId="273F422D">
            <w:pPr>
              <w:pStyle w:val="2"/>
              <w:ind w:left="0" w:leftChars="0" w:firstLine="0" w:firstLineChars="0"/>
              <w:rPr>
                <w:rFonts w:hint="eastAsia"/>
              </w:rPr>
            </w:pPr>
          </w:p>
          <w:p w14:paraId="3CB4123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2"/>
                <w:highlight w:val="none"/>
                <w:lang w:bidi="ar"/>
              </w:rPr>
            </w:pPr>
          </w:p>
          <w:p w14:paraId="5E8F3D2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rPr>
            </w:pPr>
            <w:r>
              <w:rPr>
                <w:rFonts w:hint="eastAsia" w:ascii="仿宋_GB2312" w:hAnsi="仿宋_GB2312" w:eastAsia="仿宋_GB2312" w:cs="仿宋_GB2312"/>
                <w:color w:val="000000"/>
                <w:kern w:val="0"/>
                <w:sz w:val="22"/>
                <w:highlight w:val="none"/>
                <w:lang w:bidi="ar"/>
              </w:rPr>
              <w:t>协议履行</w:t>
            </w:r>
          </w:p>
        </w:tc>
        <w:tc>
          <w:tcPr>
            <w:tcW w:w="316" w:type="pct"/>
            <w:vMerge w:val="restart"/>
            <w:noWrap w:val="0"/>
            <w:vAlign w:val="center"/>
          </w:tcPr>
          <w:p w14:paraId="66F6026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基础管理</w:t>
            </w:r>
          </w:p>
        </w:tc>
        <w:tc>
          <w:tcPr>
            <w:tcW w:w="275" w:type="pct"/>
            <w:noWrap w:val="0"/>
            <w:vAlign w:val="center"/>
          </w:tcPr>
          <w:p w14:paraId="2FF7CEF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w:t>
            </w:r>
          </w:p>
        </w:tc>
        <w:tc>
          <w:tcPr>
            <w:tcW w:w="489" w:type="pct"/>
            <w:noWrap w:val="0"/>
            <w:vAlign w:val="center"/>
          </w:tcPr>
          <w:p w14:paraId="2BC1623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机构设置</w:t>
            </w:r>
          </w:p>
        </w:tc>
        <w:tc>
          <w:tcPr>
            <w:tcW w:w="433" w:type="pct"/>
            <w:noWrap w:val="0"/>
            <w:vAlign w:val="center"/>
          </w:tcPr>
          <w:p w14:paraId="362FF40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19B64A09">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建立健全医保管理服务部门，配备专（兼）职管理人员。</w:t>
            </w:r>
          </w:p>
        </w:tc>
      </w:tr>
      <w:tr w14:paraId="07F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ign w:val="center"/>
          </w:tcPr>
          <w:p w14:paraId="7C81F77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2F67EE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187D026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w:t>
            </w:r>
          </w:p>
        </w:tc>
        <w:tc>
          <w:tcPr>
            <w:tcW w:w="489" w:type="pct"/>
            <w:noWrap w:val="0"/>
            <w:vAlign w:val="center"/>
          </w:tcPr>
          <w:p w14:paraId="448F59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规章制度</w:t>
            </w:r>
          </w:p>
        </w:tc>
        <w:tc>
          <w:tcPr>
            <w:tcW w:w="433" w:type="pct"/>
            <w:noWrap w:val="0"/>
            <w:vAlign w:val="center"/>
          </w:tcPr>
          <w:p w14:paraId="6D41B6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79B9E8B7">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具有符合医保协议管理要求的医保药品管理制度、财务管理制度、医保人员管理制度、统计信息管理制度和医保费用结算制度。</w:t>
            </w:r>
          </w:p>
        </w:tc>
      </w:tr>
      <w:tr w14:paraId="01C6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62" w:type="pct"/>
            <w:vMerge w:val="continue"/>
            <w:noWrap/>
            <w:vAlign w:val="center"/>
          </w:tcPr>
          <w:p w14:paraId="2975194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749B36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5C4A637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w:t>
            </w:r>
          </w:p>
        </w:tc>
        <w:tc>
          <w:tcPr>
            <w:tcW w:w="489" w:type="pct"/>
            <w:noWrap w:val="0"/>
            <w:vAlign w:val="center"/>
          </w:tcPr>
          <w:p w14:paraId="234EC68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宣传培训</w:t>
            </w:r>
          </w:p>
        </w:tc>
        <w:tc>
          <w:tcPr>
            <w:tcW w:w="433" w:type="pct"/>
            <w:noWrap w:val="0"/>
            <w:vAlign w:val="center"/>
          </w:tcPr>
          <w:p w14:paraId="0123FFE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05B85AF8">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Style w:val="6"/>
                <w:rFonts w:ascii="仿宋_GB2312" w:hAnsi="仿宋_GB2312" w:eastAsia="仿宋_GB2312" w:cs="仿宋_GB2312"/>
                <w:highlight w:val="none"/>
                <w:lang w:bidi="ar"/>
              </w:rPr>
              <w:t>①采取多种方式开展医疗保险政策宣传，为参保人员提供咨询服务；</w:t>
            </w:r>
            <w:r>
              <w:rPr>
                <w:rStyle w:val="6"/>
                <w:rFonts w:ascii="仿宋_GB2312" w:hAnsi="仿宋_GB2312" w:eastAsia="仿宋_GB2312" w:cs="仿宋_GB2312"/>
                <w:highlight w:val="none"/>
                <w:lang w:bidi="ar"/>
              </w:rPr>
              <w:br w:type="textWrapping"/>
            </w:r>
            <w:r>
              <w:rPr>
                <w:rStyle w:val="6"/>
                <w:rFonts w:ascii="仿宋_GB2312" w:hAnsi="仿宋_GB2312" w:eastAsia="仿宋_GB2312" w:cs="仿宋_GB2312"/>
                <w:highlight w:val="none"/>
                <w:lang w:bidi="ar"/>
              </w:rPr>
              <w:t>②应当组织医保管理人员参加由医疗保障行政部门或经办机构、稽核机构组织的宣传和培训；</w:t>
            </w:r>
            <w:r>
              <w:rPr>
                <w:rStyle w:val="6"/>
                <w:rFonts w:ascii="仿宋_GB2312" w:hAnsi="仿宋_GB2312" w:eastAsia="仿宋_GB2312" w:cs="仿宋_GB2312"/>
                <w:highlight w:val="none"/>
                <w:lang w:bidi="ar"/>
              </w:rPr>
              <w:br w:type="textWrapping"/>
            </w:r>
            <w:r>
              <w:rPr>
                <w:rStyle w:val="6"/>
                <w:rFonts w:ascii="仿宋_GB2312" w:hAnsi="仿宋_GB2312" w:eastAsia="仿宋_GB2312" w:cs="仿宋_GB2312"/>
                <w:highlight w:val="none"/>
                <w:lang w:bidi="ar"/>
              </w:rPr>
              <w:t>③应当组织开展医疗保障基金相关制度、政策的培训。</w:t>
            </w:r>
          </w:p>
        </w:tc>
      </w:tr>
      <w:tr w14:paraId="34B9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2" w:type="pct"/>
            <w:vMerge w:val="continue"/>
            <w:noWrap/>
            <w:vAlign w:val="center"/>
          </w:tcPr>
          <w:p w14:paraId="752D034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75B66BA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2265FEB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4</w:t>
            </w:r>
          </w:p>
        </w:tc>
        <w:tc>
          <w:tcPr>
            <w:tcW w:w="489" w:type="pct"/>
            <w:noWrap w:val="0"/>
            <w:vAlign w:val="center"/>
          </w:tcPr>
          <w:p w14:paraId="58C4E26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信息系统</w:t>
            </w:r>
          </w:p>
        </w:tc>
        <w:tc>
          <w:tcPr>
            <w:tcW w:w="433" w:type="pct"/>
            <w:noWrap w:val="0"/>
            <w:vAlign w:val="center"/>
          </w:tcPr>
          <w:p w14:paraId="505CC8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11C9EC87">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①指定专人负责医保信息系统管理，明确工作职责，合理设置管理权限；</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②具备符合医保协议管理要求的信息系统技术和接口标准，实现与医保信息系统有效对接，为参保人员提供直接联网结算，建立医保药品等基础数据库，按规定使用国家统一医保编码；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④按照规定通过医疗保障信息系统传送医疗保障基金使用有关数据。</w:t>
            </w:r>
          </w:p>
        </w:tc>
      </w:tr>
      <w:tr w14:paraId="4324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62" w:type="pct"/>
            <w:vMerge w:val="continue"/>
            <w:noWrap/>
            <w:vAlign w:val="center"/>
          </w:tcPr>
          <w:p w14:paraId="036CDA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721250C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08726EA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5</w:t>
            </w:r>
          </w:p>
        </w:tc>
        <w:tc>
          <w:tcPr>
            <w:tcW w:w="489" w:type="pct"/>
            <w:noWrap w:val="0"/>
            <w:vAlign w:val="center"/>
          </w:tcPr>
          <w:p w14:paraId="2B3D2C7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收费规定</w:t>
            </w:r>
          </w:p>
        </w:tc>
        <w:tc>
          <w:tcPr>
            <w:tcW w:w="433" w:type="pct"/>
            <w:noWrap w:val="0"/>
            <w:vAlign w:val="center"/>
          </w:tcPr>
          <w:p w14:paraId="13B0BB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159AD91B">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①提供药品服务时应核对参保人员有效身份凭证，做到人证相符。特殊情况下为他人代购药品的应出示本人和被代购人身份证；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②按照公平、合理、诚实信用和质价相符的原则确定销售价格，遵守药品价格政策；</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③为参保人员提供医保药品费用直接结算单据和相关资料，参保人员或购药人应在购药清单上签字确认；</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④凭外配处方购药的，应核验处方使用人与参保人员身份是否一致。</w:t>
            </w:r>
          </w:p>
        </w:tc>
      </w:tr>
      <w:tr w14:paraId="5A73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ign w:val="center"/>
          </w:tcPr>
          <w:p w14:paraId="44B829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5E74BC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4328AD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6</w:t>
            </w:r>
          </w:p>
        </w:tc>
        <w:tc>
          <w:tcPr>
            <w:tcW w:w="489" w:type="pct"/>
            <w:noWrap w:val="0"/>
            <w:vAlign w:val="center"/>
          </w:tcPr>
          <w:p w14:paraId="599203A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报送制度</w:t>
            </w:r>
          </w:p>
        </w:tc>
        <w:tc>
          <w:tcPr>
            <w:tcW w:w="433" w:type="pct"/>
            <w:noWrap w:val="0"/>
            <w:vAlign w:val="center"/>
          </w:tcPr>
          <w:p w14:paraId="3D48E2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002FCA0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①按照规定向医疗保障行政部门报告医疗保障基金使用监督管理所需信息；</w:t>
            </w:r>
          </w:p>
        </w:tc>
      </w:tr>
      <w:tr w14:paraId="3C07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ign w:val="center"/>
          </w:tcPr>
          <w:p w14:paraId="20CCBAA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78C3F64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5AC4922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7</w:t>
            </w:r>
          </w:p>
        </w:tc>
        <w:tc>
          <w:tcPr>
            <w:tcW w:w="489" w:type="pct"/>
            <w:noWrap w:val="0"/>
            <w:vAlign w:val="center"/>
          </w:tcPr>
          <w:p w14:paraId="5BD330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凭证管理</w:t>
            </w:r>
          </w:p>
        </w:tc>
        <w:tc>
          <w:tcPr>
            <w:tcW w:w="433" w:type="pct"/>
            <w:noWrap w:val="0"/>
            <w:vAlign w:val="center"/>
          </w:tcPr>
          <w:p w14:paraId="00811F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547345FE">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按照规定保管财务账目、会计凭证、处方、费用明细、药品和医用耗材出入库记录等资料。</w:t>
            </w:r>
          </w:p>
        </w:tc>
      </w:tr>
      <w:tr w14:paraId="0788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62" w:type="pct"/>
            <w:vMerge w:val="continue"/>
            <w:noWrap/>
            <w:vAlign w:val="center"/>
          </w:tcPr>
          <w:p w14:paraId="328098E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0CC83BE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4D0869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8</w:t>
            </w:r>
          </w:p>
        </w:tc>
        <w:tc>
          <w:tcPr>
            <w:tcW w:w="489" w:type="pct"/>
            <w:noWrap w:val="0"/>
            <w:vAlign w:val="center"/>
          </w:tcPr>
          <w:p w14:paraId="0AD189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处方管理</w:t>
            </w:r>
          </w:p>
        </w:tc>
        <w:tc>
          <w:tcPr>
            <w:tcW w:w="433" w:type="pct"/>
            <w:noWrap w:val="0"/>
            <w:vAlign w:val="center"/>
          </w:tcPr>
          <w:p w14:paraId="548C33C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7B137939">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①应当凭处方销售医保目录内处方药，药师应当对处方进行审核、签字后调剂配发药品；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②应凭定点医疗机构开具的外配处方销售药品</w:t>
            </w:r>
            <w:r>
              <w:rPr>
                <w:rFonts w:hint="eastAsia" w:ascii="仿宋_GB2312" w:hAnsi="仿宋_GB2312" w:eastAsia="仿宋_GB2312" w:cs="仿宋_GB2312"/>
                <w:color w:val="000000"/>
                <w:kern w:val="0"/>
                <w:sz w:val="22"/>
                <w:highlight w:val="none"/>
                <w:lang w:eastAsia="zh-CN" w:bidi="ar"/>
              </w:rPr>
              <w:t>，</w:t>
            </w:r>
            <w:r>
              <w:rPr>
                <w:rFonts w:hint="eastAsia" w:ascii="仿宋_GB2312" w:hAnsi="仿宋_GB2312" w:eastAsia="仿宋_GB2312" w:cs="仿宋_GB2312"/>
                <w:color w:val="000000"/>
                <w:kern w:val="0"/>
                <w:sz w:val="22"/>
                <w:highlight w:val="none"/>
                <w:lang w:bidi="ar"/>
              </w:rPr>
              <w:t>外配处方必须由定点医疗机构医师开具，有医师签章</w:t>
            </w:r>
            <w:r>
              <w:rPr>
                <w:rFonts w:hint="eastAsia" w:ascii="仿宋_GB2312" w:hAnsi="仿宋_GB2312" w:eastAsia="仿宋_GB2312" w:cs="仿宋_GB2312"/>
                <w:color w:val="000000"/>
                <w:kern w:val="0"/>
                <w:sz w:val="22"/>
                <w:highlight w:val="none"/>
                <w:lang w:eastAsia="zh-CN" w:bidi="ar"/>
              </w:rPr>
              <w:t>，外配处方必须通过电子处方系统流转</w:t>
            </w:r>
            <w:r>
              <w:rPr>
                <w:rFonts w:hint="eastAsia" w:ascii="仿宋_GB2312" w:hAnsi="仿宋_GB2312" w:eastAsia="仿宋_GB2312" w:cs="仿宋_GB2312"/>
                <w:color w:val="000000"/>
                <w:kern w:val="0"/>
                <w:sz w:val="22"/>
                <w:highlight w:val="none"/>
                <w:lang w:bidi="ar"/>
              </w:rPr>
              <w:t>；</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③应将参保人员医保目录内药品外配处方、购药清单等保存2年，以备医疗保障部门核查。</w:t>
            </w:r>
          </w:p>
        </w:tc>
      </w:tr>
      <w:tr w14:paraId="69AF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ign w:val="center"/>
          </w:tcPr>
          <w:p w14:paraId="72C0743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15B865E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3A76CB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9</w:t>
            </w:r>
          </w:p>
        </w:tc>
        <w:tc>
          <w:tcPr>
            <w:tcW w:w="489" w:type="pct"/>
            <w:noWrap w:val="0"/>
            <w:vAlign w:val="center"/>
          </w:tcPr>
          <w:p w14:paraId="37C9130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变更备案</w:t>
            </w:r>
          </w:p>
        </w:tc>
        <w:tc>
          <w:tcPr>
            <w:tcW w:w="433" w:type="pct"/>
            <w:noWrap w:val="0"/>
            <w:vAlign w:val="center"/>
          </w:tcPr>
          <w:p w14:paraId="5E4CFD8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定性</w:t>
            </w:r>
          </w:p>
        </w:tc>
        <w:tc>
          <w:tcPr>
            <w:tcW w:w="3222" w:type="pct"/>
            <w:noWrap w:val="0"/>
            <w:vAlign w:val="center"/>
          </w:tcPr>
          <w:p w14:paraId="66115539">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定点零售药店名称、执业地址等发生变化时，及时向医疗保障部门提供相关材料备案，申请变更。</w:t>
            </w:r>
          </w:p>
        </w:tc>
      </w:tr>
      <w:tr w14:paraId="0C72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ign w:val="center"/>
          </w:tcPr>
          <w:p w14:paraId="15DF3AD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109D47A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06E68EF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10</w:t>
            </w:r>
          </w:p>
        </w:tc>
        <w:tc>
          <w:tcPr>
            <w:tcW w:w="489" w:type="pct"/>
            <w:noWrap w:val="0"/>
            <w:vAlign w:val="center"/>
          </w:tcPr>
          <w:p w14:paraId="251DE8D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433" w:type="pct"/>
            <w:noWrap w:val="0"/>
            <w:vAlign w:val="center"/>
          </w:tcPr>
          <w:p w14:paraId="7A30DD4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2612D38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定期检查本单位医疗保障基金使用情况，及时纠正医疗保障基金使用不规范的行为。</w:t>
            </w:r>
          </w:p>
        </w:tc>
      </w:tr>
      <w:tr w14:paraId="4835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62" w:type="pct"/>
            <w:vMerge w:val="continue"/>
            <w:noWrap/>
            <w:vAlign w:val="center"/>
          </w:tcPr>
          <w:p w14:paraId="76E0F78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05051B1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2EDA96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11</w:t>
            </w:r>
          </w:p>
        </w:tc>
        <w:tc>
          <w:tcPr>
            <w:tcW w:w="489" w:type="pct"/>
            <w:noWrap w:val="0"/>
            <w:vAlign w:val="center"/>
          </w:tcPr>
          <w:p w14:paraId="103188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433" w:type="pct"/>
            <w:noWrap w:val="0"/>
            <w:vAlign w:val="center"/>
          </w:tcPr>
          <w:p w14:paraId="7E915B2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0DE1999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配合医疗保障部门开展智能监控审核稽核、履约</w:t>
            </w:r>
            <w:r>
              <w:rPr>
                <w:rFonts w:hint="eastAsia" w:ascii="仿宋_GB2312" w:hAnsi="仿宋_GB2312" w:eastAsia="仿宋_GB2312" w:cs="仿宋_GB2312"/>
                <w:color w:val="000000"/>
                <w:kern w:val="0"/>
                <w:sz w:val="22"/>
                <w:highlight w:val="none"/>
                <w:lang w:eastAsia="zh-CN" w:bidi="ar"/>
              </w:rPr>
              <w:t>评价</w:t>
            </w:r>
            <w:r>
              <w:rPr>
                <w:rFonts w:hint="eastAsia" w:ascii="仿宋_GB2312" w:hAnsi="仿宋_GB2312" w:eastAsia="仿宋_GB2312" w:cs="仿宋_GB2312"/>
                <w:color w:val="000000"/>
                <w:kern w:val="0"/>
                <w:sz w:val="22"/>
                <w:highlight w:val="none"/>
                <w:lang w:bidi="ar"/>
              </w:rPr>
              <w:t>、监督检查等。</w:t>
            </w:r>
          </w:p>
        </w:tc>
      </w:tr>
      <w:tr w14:paraId="7E07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62" w:type="pct"/>
            <w:vMerge w:val="continue"/>
            <w:noWrap/>
            <w:vAlign w:val="center"/>
          </w:tcPr>
          <w:p w14:paraId="42562E1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restart"/>
            <w:noWrap w:val="0"/>
            <w:vAlign w:val="center"/>
          </w:tcPr>
          <w:p w14:paraId="3BF1376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服务质量</w:t>
            </w:r>
          </w:p>
        </w:tc>
        <w:tc>
          <w:tcPr>
            <w:tcW w:w="275" w:type="pct"/>
            <w:noWrap w:val="0"/>
            <w:vAlign w:val="center"/>
          </w:tcPr>
          <w:p w14:paraId="6EFF270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12</w:t>
            </w:r>
          </w:p>
        </w:tc>
        <w:tc>
          <w:tcPr>
            <w:tcW w:w="489" w:type="pct"/>
            <w:noWrap w:val="0"/>
            <w:vAlign w:val="center"/>
          </w:tcPr>
          <w:p w14:paraId="5F37A7D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数据质量</w:t>
            </w:r>
          </w:p>
        </w:tc>
        <w:tc>
          <w:tcPr>
            <w:tcW w:w="433" w:type="pct"/>
            <w:noWrap w:val="0"/>
            <w:vAlign w:val="center"/>
          </w:tcPr>
          <w:p w14:paraId="67E8026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219BB70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①确保向医疗保障经办机构传输的参保人员就医、结算及其他相关信息均由信息系统自动生成，真实、准确并实时传输；</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②严格执行信息网络管理有关规定，做好数据备份；</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③传输数据不得人为篡改作假。</w:t>
            </w:r>
          </w:p>
        </w:tc>
      </w:tr>
      <w:tr w14:paraId="4276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ign w:val="center"/>
          </w:tcPr>
          <w:p w14:paraId="20B516F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64D7D17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786B2BC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13</w:t>
            </w:r>
          </w:p>
        </w:tc>
        <w:tc>
          <w:tcPr>
            <w:tcW w:w="489" w:type="pct"/>
            <w:noWrap w:val="0"/>
            <w:vAlign w:val="center"/>
          </w:tcPr>
          <w:p w14:paraId="28FD39B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应急预案</w:t>
            </w:r>
          </w:p>
        </w:tc>
        <w:tc>
          <w:tcPr>
            <w:tcW w:w="433" w:type="pct"/>
            <w:noWrap w:val="0"/>
            <w:vAlign w:val="center"/>
          </w:tcPr>
          <w:p w14:paraId="31A884E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4DA6C712">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制定应急预案，因信息系统出现故障并影响参保人员就医结算时，须及时通知医疗保障经办机构并启动应急预案，做好解释工作。</w:t>
            </w:r>
          </w:p>
        </w:tc>
      </w:tr>
      <w:tr w14:paraId="0B5D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ign w:val="center"/>
          </w:tcPr>
          <w:p w14:paraId="1D5BF3C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03345BC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65072BB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14</w:t>
            </w:r>
          </w:p>
        </w:tc>
        <w:tc>
          <w:tcPr>
            <w:tcW w:w="489" w:type="pct"/>
            <w:noWrap w:val="0"/>
            <w:vAlign w:val="center"/>
          </w:tcPr>
          <w:p w14:paraId="39CA6E5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满意度评价</w:t>
            </w:r>
          </w:p>
        </w:tc>
        <w:tc>
          <w:tcPr>
            <w:tcW w:w="433" w:type="pct"/>
            <w:noWrap w:val="0"/>
            <w:vAlign w:val="center"/>
          </w:tcPr>
          <w:p w14:paraId="38AC45E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定性</w:t>
            </w:r>
          </w:p>
        </w:tc>
        <w:tc>
          <w:tcPr>
            <w:tcW w:w="3222" w:type="pct"/>
            <w:noWrap w:val="0"/>
            <w:vAlign w:val="center"/>
          </w:tcPr>
          <w:p w14:paraId="5A8630A4">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参保患者满意度=评价满意的被调查参保患者人数/接受调查的参保患者总数×100% 。</w:t>
            </w:r>
          </w:p>
        </w:tc>
      </w:tr>
      <w:tr w14:paraId="5E86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62" w:type="pct"/>
            <w:vMerge w:val="continue"/>
            <w:noWrap/>
            <w:vAlign w:val="center"/>
          </w:tcPr>
          <w:p w14:paraId="3271E1D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6DBDD9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01B753C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15</w:t>
            </w:r>
          </w:p>
        </w:tc>
        <w:tc>
          <w:tcPr>
            <w:tcW w:w="489" w:type="pct"/>
            <w:noWrap w:val="0"/>
            <w:vAlign w:val="center"/>
          </w:tcPr>
          <w:p w14:paraId="57BD9BD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媒体报道</w:t>
            </w:r>
          </w:p>
        </w:tc>
        <w:tc>
          <w:tcPr>
            <w:tcW w:w="433" w:type="pct"/>
            <w:noWrap w:val="0"/>
            <w:vAlign w:val="center"/>
          </w:tcPr>
          <w:p w14:paraId="42C5A37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37D678F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按本机构被主流媒体报道，经医疗保障部门认可的，按照报道数量赋分。</w:t>
            </w:r>
          </w:p>
        </w:tc>
      </w:tr>
      <w:tr w14:paraId="2D66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continue"/>
            <w:noWrap/>
            <w:vAlign w:val="center"/>
          </w:tcPr>
          <w:p w14:paraId="2184841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659A235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16DBB55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16</w:t>
            </w:r>
          </w:p>
        </w:tc>
        <w:tc>
          <w:tcPr>
            <w:tcW w:w="489" w:type="pct"/>
            <w:noWrap w:val="0"/>
            <w:vAlign w:val="center"/>
          </w:tcPr>
          <w:p w14:paraId="563144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433" w:type="pct"/>
            <w:noWrap w:val="0"/>
            <w:vAlign w:val="center"/>
          </w:tcPr>
          <w:p w14:paraId="4C87C38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4395387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严格执行医保服务协议的各项条款。</w:t>
            </w:r>
          </w:p>
        </w:tc>
      </w:tr>
      <w:tr w14:paraId="575F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restart"/>
            <w:noWrap/>
            <w:vAlign w:val="center"/>
          </w:tcPr>
          <w:p w14:paraId="1A8D008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协议履行</w:t>
            </w:r>
          </w:p>
        </w:tc>
        <w:tc>
          <w:tcPr>
            <w:tcW w:w="316" w:type="pct"/>
            <w:vMerge w:val="restart"/>
            <w:noWrap w:val="0"/>
            <w:vAlign w:val="center"/>
          </w:tcPr>
          <w:p w14:paraId="223FC97A">
            <w:pPr>
              <w:keepNext w:val="0"/>
              <w:keepLines w:val="0"/>
              <w:pageBreakBefore w:val="0"/>
              <w:tabs>
                <w:tab w:val="left" w:pos="389"/>
              </w:tabs>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协议处理</w:t>
            </w:r>
          </w:p>
        </w:tc>
        <w:tc>
          <w:tcPr>
            <w:tcW w:w="275" w:type="pct"/>
            <w:noWrap w:val="0"/>
            <w:vAlign w:val="center"/>
          </w:tcPr>
          <w:p w14:paraId="069DB73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17</w:t>
            </w:r>
          </w:p>
        </w:tc>
        <w:tc>
          <w:tcPr>
            <w:tcW w:w="489" w:type="pct"/>
            <w:noWrap w:val="0"/>
            <w:vAlign w:val="center"/>
          </w:tcPr>
          <w:p w14:paraId="2BA33A1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433" w:type="pct"/>
            <w:noWrap w:val="0"/>
            <w:vAlign w:val="center"/>
          </w:tcPr>
          <w:p w14:paraId="5C1206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4FCAC04A">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被医疗保障经办机构约谈的。</w:t>
            </w:r>
          </w:p>
        </w:tc>
      </w:tr>
      <w:tr w14:paraId="0738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continue"/>
            <w:noWrap/>
            <w:vAlign w:val="center"/>
          </w:tcPr>
          <w:p w14:paraId="504AB31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strike/>
                <w:color w:val="000000"/>
                <w:sz w:val="22"/>
                <w:highlight w:val="red"/>
              </w:rPr>
            </w:pPr>
          </w:p>
        </w:tc>
        <w:tc>
          <w:tcPr>
            <w:tcW w:w="316" w:type="pct"/>
            <w:vMerge w:val="continue"/>
            <w:noWrap w:val="0"/>
            <w:vAlign w:val="center"/>
          </w:tcPr>
          <w:p w14:paraId="088AF07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strike/>
                <w:color w:val="000000"/>
                <w:sz w:val="22"/>
                <w:highlight w:val="red"/>
              </w:rPr>
            </w:pPr>
          </w:p>
        </w:tc>
        <w:tc>
          <w:tcPr>
            <w:tcW w:w="275" w:type="pct"/>
            <w:noWrap w:val="0"/>
            <w:vAlign w:val="center"/>
          </w:tcPr>
          <w:p w14:paraId="12DA144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18</w:t>
            </w:r>
          </w:p>
        </w:tc>
        <w:tc>
          <w:tcPr>
            <w:tcW w:w="489" w:type="pct"/>
            <w:noWrap w:val="0"/>
            <w:vAlign w:val="center"/>
          </w:tcPr>
          <w:p w14:paraId="5ECA97F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通报</w:t>
            </w:r>
          </w:p>
        </w:tc>
        <w:tc>
          <w:tcPr>
            <w:tcW w:w="433" w:type="pct"/>
            <w:noWrap w:val="0"/>
            <w:vAlign w:val="center"/>
          </w:tcPr>
          <w:p w14:paraId="2AD3F6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定量</w:t>
            </w:r>
          </w:p>
        </w:tc>
        <w:tc>
          <w:tcPr>
            <w:tcW w:w="3222" w:type="pct"/>
            <w:noWrap w:val="0"/>
            <w:vAlign w:val="center"/>
          </w:tcPr>
          <w:p w14:paraId="40C2033C">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被医疗保障部门通报的。</w:t>
            </w:r>
          </w:p>
        </w:tc>
      </w:tr>
      <w:tr w14:paraId="0CF1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continue"/>
            <w:noWrap/>
            <w:vAlign w:val="center"/>
          </w:tcPr>
          <w:p w14:paraId="11193DB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55199FE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3EC8C3D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19</w:t>
            </w:r>
          </w:p>
        </w:tc>
        <w:tc>
          <w:tcPr>
            <w:tcW w:w="489" w:type="pct"/>
            <w:noWrap w:val="0"/>
            <w:vAlign w:val="center"/>
          </w:tcPr>
          <w:p w14:paraId="73C0889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追回费用</w:t>
            </w:r>
          </w:p>
        </w:tc>
        <w:tc>
          <w:tcPr>
            <w:tcW w:w="433" w:type="pct"/>
            <w:noWrap w:val="0"/>
            <w:vAlign w:val="center"/>
          </w:tcPr>
          <w:p w14:paraId="3A54F66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761B191D">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被医疗保障经办机构追回费用。</w:t>
            </w:r>
          </w:p>
        </w:tc>
      </w:tr>
      <w:tr w14:paraId="7D23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continue"/>
            <w:noWrap/>
            <w:vAlign w:val="center"/>
          </w:tcPr>
          <w:p w14:paraId="0C9FB6A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189EEA9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3347350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20</w:t>
            </w:r>
          </w:p>
        </w:tc>
        <w:tc>
          <w:tcPr>
            <w:tcW w:w="489" w:type="pct"/>
            <w:noWrap w:val="0"/>
            <w:vAlign w:val="center"/>
          </w:tcPr>
          <w:p w14:paraId="1972B2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拒付费用</w:t>
            </w:r>
          </w:p>
        </w:tc>
        <w:tc>
          <w:tcPr>
            <w:tcW w:w="433" w:type="pct"/>
            <w:noWrap w:val="0"/>
            <w:vAlign w:val="center"/>
          </w:tcPr>
          <w:p w14:paraId="4B222A8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6B9AB65C">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被医疗保障经办机构拒付费用。</w:t>
            </w:r>
          </w:p>
        </w:tc>
      </w:tr>
      <w:tr w14:paraId="507D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continue"/>
            <w:noWrap/>
            <w:vAlign w:val="center"/>
          </w:tcPr>
          <w:p w14:paraId="15A2632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1D355C2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6C491DD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21</w:t>
            </w:r>
          </w:p>
        </w:tc>
        <w:tc>
          <w:tcPr>
            <w:tcW w:w="489" w:type="pct"/>
            <w:noWrap w:val="0"/>
            <w:vAlign w:val="center"/>
          </w:tcPr>
          <w:p w14:paraId="465B89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暂停结算</w:t>
            </w:r>
          </w:p>
        </w:tc>
        <w:tc>
          <w:tcPr>
            <w:tcW w:w="433" w:type="pct"/>
            <w:noWrap w:val="0"/>
            <w:vAlign w:val="center"/>
          </w:tcPr>
          <w:p w14:paraId="2C37A2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7A775012">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被医保经办机构暂停结算的。</w:t>
            </w:r>
          </w:p>
        </w:tc>
      </w:tr>
      <w:tr w14:paraId="6CEF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continue"/>
            <w:noWrap/>
            <w:vAlign w:val="center"/>
          </w:tcPr>
          <w:p w14:paraId="3712A5D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087FD7A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03FD1F0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22</w:t>
            </w:r>
          </w:p>
        </w:tc>
        <w:tc>
          <w:tcPr>
            <w:tcW w:w="489" w:type="pct"/>
            <w:noWrap w:val="0"/>
            <w:vAlign w:val="center"/>
          </w:tcPr>
          <w:p w14:paraId="1203B0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中止协议</w:t>
            </w:r>
          </w:p>
        </w:tc>
        <w:tc>
          <w:tcPr>
            <w:tcW w:w="433" w:type="pct"/>
            <w:noWrap w:val="0"/>
            <w:vAlign w:val="center"/>
          </w:tcPr>
          <w:p w14:paraId="143C864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3790741A">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被医疗保障部门中止协议的。</w:t>
            </w:r>
          </w:p>
        </w:tc>
      </w:tr>
      <w:tr w14:paraId="732B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restart"/>
            <w:noWrap w:val="0"/>
            <w:vAlign w:val="center"/>
          </w:tcPr>
          <w:p w14:paraId="272B290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基金监管</w:t>
            </w:r>
          </w:p>
        </w:tc>
        <w:tc>
          <w:tcPr>
            <w:tcW w:w="316" w:type="pct"/>
            <w:vMerge w:val="restart"/>
            <w:noWrap w:val="0"/>
            <w:vAlign w:val="center"/>
          </w:tcPr>
          <w:p w14:paraId="672757E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一般处理</w:t>
            </w:r>
          </w:p>
        </w:tc>
        <w:tc>
          <w:tcPr>
            <w:tcW w:w="275" w:type="pct"/>
            <w:noWrap w:val="0"/>
            <w:vAlign w:val="center"/>
          </w:tcPr>
          <w:p w14:paraId="2CACD12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23</w:t>
            </w:r>
          </w:p>
        </w:tc>
        <w:tc>
          <w:tcPr>
            <w:tcW w:w="489" w:type="pct"/>
            <w:noWrap w:val="0"/>
            <w:vAlign w:val="center"/>
          </w:tcPr>
          <w:p w14:paraId="5626342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约谈</w:t>
            </w:r>
          </w:p>
        </w:tc>
        <w:tc>
          <w:tcPr>
            <w:tcW w:w="433" w:type="pct"/>
            <w:noWrap w:val="0"/>
            <w:vAlign w:val="center"/>
          </w:tcPr>
          <w:p w14:paraId="50C28B1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7A6131CA">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被医疗保障部门约谈的。</w:t>
            </w:r>
          </w:p>
        </w:tc>
      </w:tr>
      <w:tr w14:paraId="54D0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2" w:type="pct"/>
            <w:vMerge w:val="continue"/>
            <w:noWrap w:val="0"/>
            <w:vAlign w:val="center"/>
          </w:tcPr>
          <w:p w14:paraId="6067542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78190FE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1DA5B49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24</w:t>
            </w:r>
          </w:p>
        </w:tc>
        <w:tc>
          <w:tcPr>
            <w:tcW w:w="489" w:type="pct"/>
            <w:noWrap w:val="0"/>
            <w:vAlign w:val="center"/>
          </w:tcPr>
          <w:p w14:paraId="408C41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整改</w:t>
            </w:r>
          </w:p>
        </w:tc>
        <w:tc>
          <w:tcPr>
            <w:tcW w:w="433" w:type="pct"/>
            <w:noWrap w:val="0"/>
            <w:vAlign w:val="center"/>
          </w:tcPr>
          <w:p w14:paraId="37437C3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262B54EF">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被医疗保障部门责令整改的。</w:t>
            </w:r>
          </w:p>
        </w:tc>
      </w:tr>
      <w:tr w14:paraId="167A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62" w:type="pct"/>
            <w:vMerge w:val="continue"/>
            <w:noWrap w:val="0"/>
            <w:vAlign w:val="center"/>
          </w:tcPr>
          <w:p w14:paraId="239732C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noWrap w:val="0"/>
            <w:vAlign w:val="center"/>
          </w:tcPr>
          <w:p w14:paraId="1DC9C3B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行政处罚</w:t>
            </w:r>
          </w:p>
        </w:tc>
        <w:tc>
          <w:tcPr>
            <w:tcW w:w="275" w:type="pct"/>
            <w:noWrap w:val="0"/>
            <w:vAlign w:val="center"/>
          </w:tcPr>
          <w:p w14:paraId="23523BA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25</w:t>
            </w:r>
          </w:p>
        </w:tc>
        <w:tc>
          <w:tcPr>
            <w:tcW w:w="489" w:type="pct"/>
            <w:noWrap w:val="0"/>
            <w:vAlign w:val="center"/>
          </w:tcPr>
          <w:p w14:paraId="04F732E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罚款</w:t>
            </w:r>
          </w:p>
        </w:tc>
        <w:tc>
          <w:tcPr>
            <w:tcW w:w="433" w:type="pct"/>
            <w:noWrap w:val="0"/>
            <w:vAlign w:val="center"/>
          </w:tcPr>
          <w:p w14:paraId="63A7C30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06899F6E">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被医疗保障行政部门罚款。</w:t>
            </w:r>
          </w:p>
        </w:tc>
      </w:tr>
      <w:tr w14:paraId="2575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center"/>
          </w:tcPr>
          <w:p w14:paraId="66806C9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noWrap/>
            <w:vAlign w:val="center"/>
          </w:tcPr>
          <w:p w14:paraId="39B7B64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275" w:type="pct"/>
            <w:noWrap w:val="0"/>
            <w:vAlign w:val="center"/>
          </w:tcPr>
          <w:p w14:paraId="68B48E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26</w:t>
            </w:r>
          </w:p>
        </w:tc>
        <w:tc>
          <w:tcPr>
            <w:tcW w:w="489" w:type="pct"/>
            <w:noWrap/>
            <w:vAlign w:val="center"/>
          </w:tcPr>
          <w:p w14:paraId="13CA953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433" w:type="pct"/>
            <w:noWrap w:val="0"/>
            <w:vAlign w:val="center"/>
          </w:tcPr>
          <w:p w14:paraId="672939B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18EA9AAB">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其他骗取医疗保障基金支出的行为。</w:t>
            </w:r>
          </w:p>
        </w:tc>
      </w:tr>
      <w:tr w14:paraId="0074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noWrap w:val="0"/>
            <w:vAlign w:val="center"/>
          </w:tcPr>
          <w:p w14:paraId="7056627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社会信用</w:t>
            </w:r>
          </w:p>
        </w:tc>
        <w:tc>
          <w:tcPr>
            <w:tcW w:w="316" w:type="pct"/>
            <w:noWrap/>
            <w:vAlign w:val="center"/>
          </w:tcPr>
          <w:p w14:paraId="61D19A8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行政处理</w:t>
            </w:r>
          </w:p>
        </w:tc>
        <w:tc>
          <w:tcPr>
            <w:tcW w:w="275" w:type="pct"/>
            <w:noWrap w:val="0"/>
            <w:vAlign w:val="center"/>
          </w:tcPr>
          <w:p w14:paraId="0D2DF62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27</w:t>
            </w:r>
          </w:p>
        </w:tc>
        <w:tc>
          <w:tcPr>
            <w:tcW w:w="489" w:type="pct"/>
            <w:noWrap/>
            <w:vAlign w:val="center"/>
          </w:tcPr>
          <w:p w14:paraId="22179C6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行政处罚</w:t>
            </w:r>
          </w:p>
        </w:tc>
        <w:tc>
          <w:tcPr>
            <w:tcW w:w="433" w:type="pct"/>
            <w:noWrap w:val="0"/>
            <w:vAlign w:val="center"/>
          </w:tcPr>
          <w:p w14:paraId="1824EB8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230E5D6D">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被政府有关行政部门给予行政处罚情况。</w:t>
            </w:r>
          </w:p>
        </w:tc>
      </w:tr>
      <w:tr w14:paraId="3D00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restart"/>
            <w:noWrap w:val="0"/>
            <w:vAlign w:val="center"/>
          </w:tcPr>
          <w:p w14:paraId="56C60C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表彰奖励</w:t>
            </w:r>
          </w:p>
        </w:tc>
        <w:tc>
          <w:tcPr>
            <w:tcW w:w="316" w:type="pct"/>
            <w:vMerge w:val="restart"/>
            <w:noWrap w:val="0"/>
            <w:vAlign w:val="center"/>
          </w:tcPr>
          <w:p w14:paraId="7791D5C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受到表彰</w:t>
            </w:r>
          </w:p>
        </w:tc>
        <w:tc>
          <w:tcPr>
            <w:tcW w:w="275" w:type="pct"/>
            <w:noWrap w:val="0"/>
            <w:vAlign w:val="center"/>
          </w:tcPr>
          <w:p w14:paraId="5225BB6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28</w:t>
            </w:r>
          </w:p>
        </w:tc>
        <w:tc>
          <w:tcPr>
            <w:tcW w:w="489" w:type="pct"/>
            <w:noWrap w:val="0"/>
            <w:vAlign w:val="center"/>
          </w:tcPr>
          <w:p w14:paraId="1917343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政府表彰</w:t>
            </w:r>
          </w:p>
        </w:tc>
        <w:tc>
          <w:tcPr>
            <w:tcW w:w="433" w:type="pct"/>
            <w:noWrap w:val="0"/>
            <w:vAlign w:val="center"/>
          </w:tcPr>
          <w:p w14:paraId="3B4DA5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4A0AE7B4">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受到党委、人民政府表彰奖励的。</w:t>
            </w:r>
          </w:p>
        </w:tc>
      </w:tr>
      <w:tr w14:paraId="6747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center"/>
          </w:tcPr>
          <w:p w14:paraId="710D09A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29B4270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275" w:type="pct"/>
            <w:noWrap w:val="0"/>
            <w:vAlign w:val="center"/>
          </w:tcPr>
          <w:p w14:paraId="2310D9B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29</w:t>
            </w:r>
          </w:p>
        </w:tc>
        <w:tc>
          <w:tcPr>
            <w:tcW w:w="489" w:type="pct"/>
            <w:noWrap w:val="0"/>
            <w:vAlign w:val="center"/>
          </w:tcPr>
          <w:p w14:paraId="3E331D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医保表彰</w:t>
            </w:r>
          </w:p>
        </w:tc>
        <w:tc>
          <w:tcPr>
            <w:tcW w:w="433" w:type="pct"/>
            <w:noWrap w:val="0"/>
            <w:vAlign w:val="center"/>
          </w:tcPr>
          <w:p w14:paraId="20B0598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70DC03F6">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受到医疗保障行政部门通报表扬。</w:t>
            </w:r>
          </w:p>
        </w:tc>
      </w:tr>
      <w:tr w14:paraId="7311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center"/>
          </w:tcPr>
          <w:p w14:paraId="25A1AE6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restart"/>
            <w:noWrap w:val="0"/>
            <w:vAlign w:val="center"/>
          </w:tcPr>
          <w:p w14:paraId="3BD07DE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275" w:type="pct"/>
            <w:noWrap w:val="0"/>
            <w:vAlign w:val="center"/>
          </w:tcPr>
          <w:p w14:paraId="3FBAD0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30</w:t>
            </w:r>
          </w:p>
        </w:tc>
        <w:tc>
          <w:tcPr>
            <w:tcW w:w="489" w:type="pct"/>
            <w:noWrap w:val="0"/>
            <w:vAlign w:val="center"/>
          </w:tcPr>
          <w:p w14:paraId="55F9BDD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参与试点</w:t>
            </w:r>
          </w:p>
          <w:p w14:paraId="6623EC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改革</w:t>
            </w:r>
          </w:p>
        </w:tc>
        <w:tc>
          <w:tcPr>
            <w:tcW w:w="433" w:type="pct"/>
            <w:noWrap w:val="0"/>
            <w:vAlign w:val="center"/>
          </w:tcPr>
          <w:p w14:paraId="435C96F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629DEFFA">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积极参与市级医保试点改革等工作的，受到医疗保障部门认可，并出具相关证明材料。</w:t>
            </w:r>
          </w:p>
        </w:tc>
      </w:tr>
      <w:tr w14:paraId="220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center"/>
          </w:tcPr>
          <w:p w14:paraId="50185B1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399E82B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p>
        </w:tc>
        <w:tc>
          <w:tcPr>
            <w:tcW w:w="275" w:type="pct"/>
            <w:noWrap w:val="0"/>
            <w:vAlign w:val="center"/>
          </w:tcPr>
          <w:p w14:paraId="707FCA1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31</w:t>
            </w:r>
          </w:p>
        </w:tc>
        <w:tc>
          <w:tcPr>
            <w:tcW w:w="489" w:type="pct"/>
            <w:noWrap w:val="0"/>
            <w:vAlign w:val="center"/>
          </w:tcPr>
          <w:p w14:paraId="6003AB1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自查自纠</w:t>
            </w:r>
          </w:p>
        </w:tc>
        <w:tc>
          <w:tcPr>
            <w:tcW w:w="433" w:type="pct"/>
            <w:noWrap w:val="0"/>
            <w:vAlign w:val="center"/>
          </w:tcPr>
          <w:p w14:paraId="015E8E3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定量</w:t>
            </w:r>
          </w:p>
        </w:tc>
        <w:tc>
          <w:tcPr>
            <w:tcW w:w="3222" w:type="pct"/>
            <w:noWrap/>
            <w:vAlign w:val="center"/>
          </w:tcPr>
          <w:p w14:paraId="52A867B4">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按照主动回退金额予以奖励。</w:t>
            </w:r>
          </w:p>
        </w:tc>
      </w:tr>
      <w:tr w14:paraId="104F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2" w:type="pct"/>
            <w:vMerge w:val="continue"/>
            <w:noWrap w:val="0"/>
            <w:vAlign w:val="center"/>
          </w:tcPr>
          <w:p w14:paraId="6A3AF46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noWrap w:val="0"/>
            <w:vAlign w:val="center"/>
          </w:tcPr>
          <w:p w14:paraId="5C13555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公益活动</w:t>
            </w:r>
          </w:p>
        </w:tc>
        <w:tc>
          <w:tcPr>
            <w:tcW w:w="275" w:type="pct"/>
            <w:noWrap w:val="0"/>
            <w:vAlign w:val="center"/>
          </w:tcPr>
          <w:p w14:paraId="70C118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32</w:t>
            </w:r>
          </w:p>
        </w:tc>
        <w:tc>
          <w:tcPr>
            <w:tcW w:w="489" w:type="pct"/>
            <w:noWrap w:val="0"/>
            <w:vAlign w:val="center"/>
          </w:tcPr>
          <w:p w14:paraId="79F3FEA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公益活动</w:t>
            </w:r>
          </w:p>
        </w:tc>
        <w:tc>
          <w:tcPr>
            <w:tcW w:w="433" w:type="pct"/>
            <w:noWrap w:val="0"/>
            <w:vAlign w:val="center"/>
          </w:tcPr>
          <w:p w14:paraId="5D77FCF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3222" w:type="pct"/>
            <w:noWrap w:val="0"/>
            <w:vAlign w:val="center"/>
          </w:tcPr>
          <w:p w14:paraId="6E4DE407">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主动参加医疗保障部门组织的公益活动，受到医疗保障部门认可。</w:t>
            </w:r>
          </w:p>
        </w:tc>
      </w:tr>
      <w:tr w14:paraId="4454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center"/>
          </w:tcPr>
          <w:p w14:paraId="6E9BC54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noWrap w:val="0"/>
            <w:vAlign w:val="center"/>
          </w:tcPr>
          <w:p w14:paraId="0BAF95C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其他奖励情况</w:t>
            </w:r>
          </w:p>
        </w:tc>
        <w:tc>
          <w:tcPr>
            <w:tcW w:w="275" w:type="pct"/>
            <w:noWrap w:val="0"/>
            <w:vAlign w:val="center"/>
          </w:tcPr>
          <w:p w14:paraId="7F03812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33</w:t>
            </w:r>
          </w:p>
        </w:tc>
        <w:tc>
          <w:tcPr>
            <w:tcW w:w="489" w:type="pct"/>
            <w:noWrap w:val="0"/>
            <w:vAlign w:val="center"/>
          </w:tcPr>
          <w:p w14:paraId="6EDE833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其他奖励</w:t>
            </w:r>
          </w:p>
          <w:p w14:paraId="6155C12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情况</w:t>
            </w:r>
          </w:p>
        </w:tc>
        <w:tc>
          <w:tcPr>
            <w:tcW w:w="433" w:type="pct"/>
            <w:noWrap w:val="0"/>
            <w:vAlign w:val="center"/>
          </w:tcPr>
          <w:p w14:paraId="499571B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0A6F57D0">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医疗保障部门认定的其他奖励性措施。</w:t>
            </w:r>
          </w:p>
        </w:tc>
      </w:tr>
      <w:tr w14:paraId="5737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restart"/>
            <w:noWrap w:val="0"/>
            <w:vAlign w:val="center"/>
          </w:tcPr>
          <w:p w14:paraId="1F0DCE8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lang w:eastAsia="zh-CN"/>
              </w:rPr>
            </w:pPr>
            <w:r>
              <w:rPr>
                <w:rFonts w:hint="eastAsia" w:ascii="仿宋_GB2312" w:hAnsi="仿宋_GB2312" w:eastAsia="仿宋_GB2312" w:cs="仿宋_GB2312"/>
                <w:color w:val="000000"/>
                <w:kern w:val="0"/>
                <w:sz w:val="22"/>
                <w:highlight w:val="none"/>
                <w:lang w:bidi="ar"/>
              </w:rPr>
              <w:t>否决</w:t>
            </w:r>
            <w:r>
              <w:rPr>
                <w:rFonts w:hint="eastAsia" w:ascii="仿宋_GB2312" w:hAnsi="仿宋_GB2312" w:eastAsia="仿宋_GB2312" w:cs="仿宋_GB2312"/>
                <w:color w:val="000000"/>
                <w:kern w:val="0"/>
                <w:sz w:val="22"/>
                <w:highlight w:val="none"/>
                <w:lang w:eastAsia="zh-CN" w:bidi="ar"/>
              </w:rPr>
              <w:t>项</w:t>
            </w:r>
          </w:p>
        </w:tc>
        <w:tc>
          <w:tcPr>
            <w:tcW w:w="316" w:type="pct"/>
            <w:noWrap w:val="0"/>
            <w:vAlign w:val="center"/>
          </w:tcPr>
          <w:p w14:paraId="19502BE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失信被执行人</w:t>
            </w:r>
          </w:p>
        </w:tc>
        <w:tc>
          <w:tcPr>
            <w:tcW w:w="275" w:type="pct"/>
            <w:noWrap w:val="0"/>
            <w:vAlign w:val="center"/>
          </w:tcPr>
          <w:p w14:paraId="18AE46B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34</w:t>
            </w:r>
          </w:p>
        </w:tc>
        <w:tc>
          <w:tcPr>
            <w:tcW w:w="489" w:type="pct"/>
            <w:noWrap w:val="0"/>
            <w:vAlign w:val="center"/>
          </w:tcPr>
          <w:p w14:paraId="074E305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失信被执行人</w:t>
            </w:r>
          </w:p>
        </w:tc>
        <w:tc>
          <w:tcPr>
            <w:tcW w:w="433" w:type="pct"/>
            <w:noWrap w:val="0"/>
            <w:vAlign w:val="center"/>
          </w:tcPr>
          <w:p w14:paraId="2920FE5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463DAC99">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定点零售药店或其法人被纳入公共信用系统失信“黑名单”的情况。</w:t>
            </w:r>
          </w:p>
        </w:tc>
      </w:tr>
      <w:tr w14:paraId="5088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top"/>
          </w:tcPr>
          <w:p w14:paraId="27EA63B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noWrap w:val="0"/>
            <w:vAlign w:val="center"/>
          </w:tcPr>
          <w:p w14:paraId="59D3AD1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司法处理</w:t>
            </w:r>
          </w:p>
        </w:tc>
        <w:tc>
          <w:tcPr>
            <w:tcW w:w="275" w:type="pct"/>
            <w:noWrap w:val="0"/>
            <w:vAlign w:val="center"/>
          </w:tcPr>
          <w:p w14:paraId="43EAABF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35</w:t>
            </w:r>
          </w:p>
        </w:tc>
        <w:tc>
          <w:tcPr>
            <w:tcW w:w="489" w:type="pct"/>
            <w:noWrap w:val="0"/>
            <w:vAlign w:val="center"/>
          </w:tcPr>
          <w:p w14:paraId="430CA82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欺诈骗保</w:t>
            </w:r>
          </w:p>
        </w:tc>
        <w:tc>
          <w:tcPr>
            <w:tcW w:w="433" w:type="pct"/>
            <w:noWrap w:val="0"/>
            <w:vAlign w:val="center"/>
          </w:tcPr>
          <w:p w14:paraId="6F45BEC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20F486C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定点零售药店及其工作人员因欺诈、伪造证明材料或其他手段骗取医疗保障基金或者医疗保障待遇被司法机关追究刑事责任的。</w:t>
            </w:r>
          </w:p>
        </w:tc>
      </w:tr>
      <w:tr w14:paraId="3005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top"/>
          </w:tcPr>
          <w:p w14:paraId="1DCF98E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restart"/>
            <w:noWrap w:val="0"/>
            <w:vAlign w:val="center"/>
          </w:tcPr>
          <w:p w14:paraId="3971D90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75" w:type="pct"/>
            <w:noWrap w:val="0"/>
            <w:vAlign w:val="center"/>
          </w:tcPr>
          <w:p w14:paraId="0156F8A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36</w:t>
            </w:r>
          </w:p>
        </w:tc>
        <w:tc>
          <w:tcPr>
            <w:tcW w:w="489" w:type="pct"/>
            <w:noWrap w:val="0"/>
            <w:vAlign w:val="center"/>
          </w:tcPr>
          <w:p w14:paraId="3418837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解除协议</w:t>
            </w:r>
          </w:p>
        </w:tc>
        <w:tc>
          <w:tcPr>
            <w:tcW w:w="433" w:type="pct"/>
            <w:noWrap w:val="0"/>
            <w:vAlign w:val="center"/>
          </w:tcPr>
          <w:p w14:paraId="54B27EA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322149D2">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被医疗保障部门解除协议的。</w:t>
            </w:r>
          </w:p>
        </w:tc>
      </w:tr>
      <w:tr w14:paraId="264E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top"/>
          </w:tcPr>
          <w:p w14:paraId="78C0EDC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vMerge w:val="continue"/>
            <w:noWrap w:val="0"/>
            <w:vAlign w:val="center"/>
          </w:tcPr>
          <w:p w14:paraId="3BB78AF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p>
        </w:tc>
        <w:tc>
          <w:tcPr>
            <w:tcW w:w="275" w:type="pct"/>
            <w:noWrap w:val="0"/>
            <w:vAlign w:val="center"/>
          </w:tcPr>
          <w:p w14:paraId="2711831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37</w:t>
            </w:r>
          </w:p>
        </w:tc>
        <w:tc>
          <w:tcPr>
            <w:tcW w:w="489" w:type="pct"/>
            <w:noWrap w:val="0"/>
            <w:vAlign w:val="center"/>
          </w:tcPr>
          <w:p w14:paraId="30C4AEE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变更备案</w:t>
            </w:r>
          </w:p>
        </w:tc>
        <w:tc>
          <w:tcPr>
            <w:tcW w:w="433" w:type="pct"/>
            <w:noWrap w:val="0"/>
            <w:vAlign w:val="center"/>
          </w:tcPr>
          <w:p w14:paraId="6C0C389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1AFC4453">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机构名称、执业地址等发生变化时，及时向医疗保障部门提供相关材料备案，被发现重大信息发生变更,但未在规定时间内办理重大信息变更的。</w:t>
            </w:r>
          </w:p>
        </w:tc>
      </w:tr>
      <w:tr w14:paraId="7542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2" w:type="pct"/>
            <w:vMerge w:val="continue"/>
            <w:noWrap w:val="0"/>
            <w:vAlign w:val="top"/>
          </w:tcPr>
          <w:p w14:paraId="3CC1982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仿宋_GB2312" w:eastAsia="仿宋_GB2312" w:cs="仿宋_GB2312"/>
                <w:color w:val="000000"/>
                <w:sz w:val="22"/>
                <w:highlight w:val="none"/>
              </w:rPr>
            </w:pPr>
          </w:p>
        </w:tc>
        <w:tc>
          <w:tcPr>
            <w:tcW w:w="316" w:type="pct"/>
            <w:noWrap w:val="0"/>
            <w:vAlign w:val="center"/>
          </w:tcPr>
          <w:p w14:paraId="5F462B5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275" w:type="pct"/>
            <w:noWrap w:val="0"/>
            <w:vAlign w:val="center"/>
          </w:tcPr>
          <w:p w14:paraId="2CFCD19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imes New Roman" w:hAnsi="Times New Roman" w:eastAsia="仿宋_GB2312" w:cs="Times New Roman"/>
                <w:color w:val="000000"/>
                <w:kern w:val="0"/>
                <w:sz w:val="22"/>
                <w:highlight w:val="none"/>
                <w:lang w:bidi="ar"/>
              </w:rPr>
            </w:pPr>
            <w:r>
              <w:rPr>
                <w:rFonts w:hint="eastAsia" w:ascii="Times New Roman" w:hAnsi="Times New Roman" w:eastAsia="仿宋_GB2312" w:cs="Times New Roman"/>
                <w:color w:val="000000"/>
                <w:kern w:val="0"/>
                <w:sz w:val="22"/>
                <w:highlight w:val="none"/>
                <w:lang w:bidi="ar"/>
              </w:rPr>
              <w:t>38</w:t>
            </w:r>
          </w:p>
        </w:tc>
        <w:tc>
          <w:tcPr>
            <w:tcW w:w="489" w:type="pct"/>
            <w:noWrap w:val="0"/>
            <w:vAlign w:val="center"/>
          </w:tcPr>
          <w:p w14:paraId="462AE9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433" w:type="pct"/>
            <w:noWrap w:val="0"/>
            <w:vAlign w:val="center"/>
          </w:tcPr>
          <w:p w14:paraId="6D6811D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3222" w:type="pct"/>
            <w:noWrap w:val="0"/>
            <w:vAlign w:val="center"/>
          </w:tcPr>
          <w:p w14:paraId="3C3CF828">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不配合医疗保障部门开展智能监控审核稽核、履约</w:t>
            </w:r>
            <w:r>
              <w:rPr>
                <w:rFonts w:hint="eastAsia" w:ascii="仿宋_GB2312" w:hAnsi="仿宋_GB2312" w:eastAsia="仿宋_GB2312" w:cs="仿宋_GB2312"/>
                <w:color w:val="000000"/>
                <w:kern w:val="0"/>
                <w:sz w:val="22"/>
                <w:highlight w:val="none"/>
                <w:lang w:eastAsia="zh-CN" w:bidi="ar"/>
              </w:rPr>
              <w:t>评价</w:t>
            </w:r>
            <w:r>
              <w:rPr>
                <w:rFonts w:hint="eastAsia" w:ascii="仿宋_GB2312" w:hAnsi="仿宋_GB2312" w:eastAsia="仿宋_GB2312" w:cs="仿宋_GB2312"/>
                <w:color w:val="000000"/>
                <w:kern w:val="0"/>
                <w:sz w:val="22"/>
                <w:highlight w:val="none"/>
                <w:lang w:bidi="ar"/>
              </w:rPr>
              <w:t>、监督检查等，情节恶劣的。</w:t>
            </w:r>
          </w:p>
        </w:tc>
      </w:tr>
    </w:tbl>
    <w:p w14:paraId="4649CDE6">
      <w:pPr>
        <w:keepNext w:val="0"/>
        <w:keepLines w:val="0"/>
        <w:pageBreakBefore w:val="0"/>
        <w:kinsoku/>
        <w:overflowPunct/>
        <w:topLinePunct w:val="0"/>
        <w:autoSpaceDE/>
        <w:autoSpaceDN/>
        <w:bidi w:val="0"/>
        <w:adjustRightInd/>
        <w:snapToGrid/>
        <w:spacing w:line="590" w:lineRule="exact"/>
        <w:ind w:firstLine="640" w:firstLineChars="200"/>
        <w:rPr>
          <w:rFonts w:hint="eastAsia" w:ascii="仿宋_GB2312" w:hAnsi="仿宋" w:eastAsia="仿宋_GB2312" w:cs="仿宋_GB2312"/>
          <w:sz w:val="32"/>
          <w:szCs w:val="32"/>
          <w:highlight w:val="none"/>
          <w:lang w:bidi="ar"/>
        </w:rPr>
      </w:pPr>
    </w:p>
    <w:p w14:paraId="4DAB52B0">
      <w:pPr>
        <w:keepNext w:val="0"/>
        <w:keepLines w:val="0"/>
        <w:pageBreakBefore w:val="0"/>
        <w:widowControl/>
        <w:kinsoku/>
        <w:overflowPunct/>
        <w:topLinePunct w:val="0"/>
        <w:autoSpaceDE/>
        <w:autoSpaceDN/>
        <w:bidi w:val="0"/>
        <w:adjustRightInd/>
        <w:snapToGrid/>
        <w:spacing w:line="590" w:lineRule="exact"/>
        <w:ind w:firstLine="640" w:firstLineChars="200"/>
        <w:rPr>
          <w:rFonts w:hint="eastAsia" w:ascii="仿宋_GB2312" w:hAnsi="仿宋" w:eastAsia="仿宋_GB2312" w:cs="仿宋_GB2312"/>
          <w:sz w:val="32"/>
          <w:szCs w:val="32"/>
          <w:highlight w:val="none"/>
          <w:lang w:bidi="ar"/>
        </w:rPr>
        <w:sectPr>
          <w:footerReference r:id="rId3" w:type="default"/>
          <w:pgSz w:w="16838" w:h="11906" w:orient="landscape"/>
          <w:pgMar w:top="1803" w:right="1440" w:bottom="1803" w:left="1440" w:header="851" w:footer="1134" w:gutter="0"/>
          <w:pgNumType w:fmt="decimal" w:start="9"/>
          <w:cols w:space="0" w:num="1"/>
          <w:rtlGutter w:val="0"/>
          <w:docGrid w:type="lines" w:linePitch="319" w:charSpace="0"/>
        </w:sectPr>
      </w:pPr>
    </w:p>
    <w:p w14:paraId="35873A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A12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7100" cy="306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7100" cy="306070"/>
                      </a:xfrm>
                      <a:prstGeom prst="rect">
                        <a:avLst/>
                      </a:prstGeom>
                      <a:noFill/>
                      <a:ln>
                        <a:noFill/>
                      </a:ln>
                    </wps:spPr>
                    <wps:txbx>
                      <w:txbxContent>
                        <w:p w14:paraId="54052858">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top:0pt;height:24.1pt;width:73pt;mso-position-horizontal:center;mso-position-horizontal-relative:margin;z-index:251659264;mso-width-relative:page;mso-height-relative:page;" filled="f" stroked="f" coordsize="21600,21600" o:gfxdata="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sDL/1AAAAAQBAAAPAAAAAAAAAAEAIAAAACIAAABkcnMvZG93bnJldi54bWxQ&#10;SwECFAAUAAAACACHTuJA6i98u8IBAAB/AwAADgAAAAAAAAABACAAAAAjAQAAZHJzL2Uyb0RvYy54&#10;bWxQSwUGAAAAAAYABgBZAQAAVwUAAAAA&#10;">
              <v:fill on="f" focussize="0,0"/>
              <v:stroke on="f"/>
              <v:imagedata o:title=""/>
              <o:lock v:ext="edit" aspectratio="f"/>
              <v:textbox inset="0mm,0mm,0mm,0mm">
                <w:txbxContent>
                  <w:p w14:paraId="54052858">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F17BD"/>
    <w:rsid w:val="541F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2025-07-22T02:45:00Z</dcterms:created>
  <dc:creator>行之</dc:creator>
  <cp:lastModifiedBy>行之</cp:lastModifiedBy>
  <dcterms:modified xsi:type="dcterms:W3CDTF">2025-07-22T02:45:38Z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7ECF2D2C59D54D458BC9DE19ACF15C1B_11</vt:lpwstr>
  </property>
  <property fmtid="{D5CDD505-2E9C-101B-9397-08002B2CF9AE}" pid="4" name="KSOTemplateDocerSaveRecord">
    <vt:lpwstr>eyJoZGlkIjoiNWJjZjNjMDM0ODljMmEwZjJmN2NlYjQ5OTBjMjFjNzIiLCJ1c2VySWQiOiIzNTA3MzY2MTIifQ==</vt:lpwstr>
  </property>
</Properties>
</file>