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tbl>
      <w:tblPr>
        <w:tblStyle w:val="5"/>
        <w:tblW w:w="93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289"/>
        <w:gridCol w:w="1616"/>
        <w:gridCol w:w="510"/>
        <w:gridCol w:w="425"/>
        <w:gridCol w:w="1561"/>
        <w:gridCol w:w="138"/>
        <w:gridCol w:w="1549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z w:val="44"/>
                <w:szCs w:val="44"/>
              </w:rPr>
              <w:t>省直医疗保险协议管理医疗机构申请表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46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申请单位：（公章）</w:t>
            </w:r>
          </w:p>
        </w:tc>
        <w:tc>
          <w:tcPr>
            <w:tcW w:w="46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填报时间：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7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7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单位类别</w:t>
            </w:r>
          </w:p>
        </w:tc>
        <w:tc>
          <w:tcPr>
            <w:tcW w:w="7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□综合   □中医  □中西医结合 □口腔    □民族医   □其它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单位级别</w:t>
            </w:r>
          </w:p>
        </w:tc>
        <w:tc>
          <w:tcPr>
            <w:tcW w:w="7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□诊所   □社区    □一级     □二级    □三级     □其它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28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联系人</w:t>
            </w:r>
          </w:p>
        </w:tc>
        <w:tc>
          <w:tcPr>
            <w:tcW w:w="28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医疗机构执业许可证编号</w:t>
            </w:r>
          </w:p>
        </w:tc>
        <w:tc>
          <w:tcPr>
            <w:tcW w:w="5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20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成立时间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年   月   日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场所面积</w:t>
            </w: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（㎡）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092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单位总人数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（人）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参保人数</w:t>
            </w: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住院床位（申请门诊的此项不填）</w:t>
            </w:r>
          </w:p>
        </w:tc>
        <w:tc>
          <w:tcPr>
            <w:tcW w:w="7216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right="472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           （张）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科室设置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临床科室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right="236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医技科室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right="118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0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卫生技术人员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执业医师</w:t>
            </w:r>
          </w:p>
        </w:tc>
        <w:tc>
          <w:tcPr>
            <w:tcW w:w="5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共   人，其中：高级  人，中级  人，初级  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0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护士</w:t>
            </w:r>
          </w:p>
        </w:tc>
        <w:tc>
          <w:tcPr>
            <w:tcW w:w="5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共   人，其中：高级  人，中级  人，初级  人。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医疗设备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配备情况</w:t>
            </w:r>
          </w:p>
        </w:tc>
        <w:tc>
          <w:tcPr>
            <w:tcW w:w="72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医疗仪器设备    台。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2041" w:right="1531" w:bottom="204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25B31"/>
    <w:rsid w:val="5BEF53C3"/>
    <w:rsid w:val="65AF12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spacing w:line="500" w:lineRule="exact"/>
      <w:ind w:left="1588" w:leftChars="832" w:firstLine="433" w:firstLineChars="196"/>
    </w:pPr>
    <w:rPr>
      <w:rFonts w:eastAsia="宋体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link w:val="2"/>
    <w:qFormat/>
    <w:locked/>
    <w:uiPriority w:val="0"/>
    <w:rPr>
      <w:rFonts w:eastAsia="宋体"/>
      <w:sz w:val="24"/>
    </w:rPr>
  </w:style>
  <w:style w:type="character" w:customStyle="1" w:styleId="11">
    <w:name w:val="正文文本缩进 Char1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249</Words>
  <Characters>1424</Characters>
  <Lines>11</Lines>
  <Paragraphs>3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2020-09-04T01:26:00Z</dcterms:created>
  <dc:creator>曹庄</dc:creator>
  <cp:lastModifiedBy>宏豪</cp:lastModifiedBy>
  <cp:lastPrinted>2020-09-14T02:53:00Z</cp:lastPrinted>
  <dcterms:modified xsi:type="dcterms:W3CDTF">2020-09-14T03:29:47Z</dcterms:modified>
  <dc:title>关于开展2020年度第二批省直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